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07" w:rsidRDefault="003C6607" w:rsidP="001409B4">
      <w:pPr>
        <w:pStyle w:val="Default"/>
        <w:spacing w:line="276" w:lineRule="auto"/>
        <w:ind w:left="720"/>
        <w:rPr>
          <w:rFonts w:ascii="Arial" w:hAnsi="Arial" w:cs="Times New Roman"/>
          <w:color w:val="auto"/>
          <w:szCs w:val="20"/>
          <w:lang w:eastAsia="en-US"/>
        </w:rPr>
      </w:pPr>
    </w:p>
    <w:p w:rsidR="003C6607" w:rsidRDefault="003C6607" w:rsidP="001409B4">
      <w:pPr>
        <w:pStyle w:val="Default"/>
        <w:spacing w:line="276" w:lineRule="auto"/>
        <w:ind w:left="720"/>
        <w:rPr>
          <w:rFonts w:ascii="Arial" w:hAnsi="Arial" w:cs="Times New Roman"/>
          <w:color w:val="auto"/>
          <w:szCs w:val="20"/>
          <w:lang w:eastAsia="en-US"/>
        </w:rPr>
      </w:pPr>
      <w:r>
        <w:rPr>
          <w:rFonts w:ascii="Arial" w:hAnsi="Arial" w:cs="Times New Roman"/>
          <w:color w:val="auto"/>
          <w:szCs w:val="20"/>
          <w:lang w:eastAsia="en-US"/>
        </w:rPr>
        <w:t>State Budget Community Consultation</w:t>
      </w:r>
    </w:p>
    <w:p w:rsidR="003C6607" w:rsidRPr="00566766" w:rsidRDefault="003C6607" w:rsidP="001409B4">
      <w:pPr>
        <w:pStyle w:val="Default"/>
        <w:spacing w:line="276" w:lineRule="auto"/>
        <w:ind w:left="720"/>
        <w:rPr>
          <w:rFonts w:ascii="Arial" w:hAnsi="Arial" w:cs="Times New Roman"/>
          <w:color w:val="auto"/>
          <w:szCs w:val="20"/>
          <w:lang w:eastAsia="en-US"/>
        </w:rPr>
      </w:pPr>
      <w:r>
        <w:rPr>
          <w:rFonts w:ascii="Arial" w:hAnsi="Arial" w:cs="Times New Roman"/>
          <w:color w:val="auto"/>
          <w:szCs w:val="20"/>
          <w:lang w:eastAsia="en-US"/>
        </w:rPr>
        <w:t>Department of Treasury and Finance</w:t>
      </w:r>
    </w:p>
    <w:p w:rsidR="003C6607" w:rsidRPr="00566766" w:rsidRDefault="003C6607" w:rsidP="001409B4">
      <w:pPr>
        <w:pStyle w:val="Default"/>
        <w:spacing w:line="276" w:lineRule="auto"/>
        <w:ind w:firstLine="720"/>
        <w:rPr>
          <w:rFonts w:ascii="Arial" w:hAnsi="Arial" w:cs="Times New Roman"/>
          <w:color w:val="auto"/>
          <w:szCs w:val="20"/>
          <w:lang w:eastAsia="en-US"/>
        </w:rPr>
      </w:pPr>
      <w:r>
        <w:rPr>
          <w:rFonts w:ascii="Arial" w:hAnsi="Arial" w:cs="Times New Roman"/>
          <w:color w:val="auto"/>
          <w:szCs w:val="20"/>
          <w:lang w:eastAsia="en-US"/>
        </w:rPr>
        <w:t>21 Murray Street</w:t>
      </w:r>
    </w:p>
    <w:p w:rsidR="003C6607" w:rsidRPr="00566766" w:rsidRDefault="003C6607" w:rsidP="001409B4">
      <w:pPr>
        <w:pStyle w:val="Default"/>
        <w:spacing w:line="276" w:lineRule="auto"/>
        <w:ind w:left="720"/>
        <w:rPr>
          <w:rFonts w:ascii="Arial" w:hAnsi="Arial" w:cs="Times New Roman"/>
          <w:color w:val="auto"/>
          <w:szCs w:val="20"/>
          <w:lang w:eastAsia="en-US"/>
        </w:rPr>
      </w:pPr>
      <w:r>
        <w:rPr>
          <w:rFonts w:ascii="Arial" w:hAnsi="Arial" w:cs="Times New Roman"/>
          <w:color w:val="auto"/>
          <w:szCs w:val="20"/>
          <w:lang w:eastAsia="en-US"/>
        </w:rPr>
        <w:t>Hobart TAS 7000</w:t>
      </w:r>
    </w:p>
    <w:p w:rsidR="003C6607" w:rsidRPr="00566766" w:rsidRDefault="003C6607" w:rsidP="001409B4">
      <w:pPr>
        <w:pStyle w:val="Default"/>
        <w:spacing w:line="276" w:lineRule="auto"/>
        <w:ind w:left="720"/>
        <w:rPr>
          <w:rFonts w:ascii="Arial" w:hAnsi="Arial" w:cs="Times New Roman"/>
          <w:color w:val="auto"/>
          <w:szCs w:val="20"/>
          <w:lang w:eastAsia="en-US"/>
        </w:rPr>
      </w:pPr>
    </w:p>
    <w:p w:rsidR="003C6607" w:rsidRDefault="003C6607" w:rsidP="001409B4">
      <w:pPr>
        <w:pStyle w:val="Default"/>
        <w:spacing w:line="276" w:lineRule="auto"/>
        <w:ind w:left="720"/>
        <w:rPr>
          <w:rFonts w:ascii="Arial" w:hAnsi="Arial" w:cs="Times New Roman"/>
          <w:color w:val="auto"/>
          <w:szCs w:val="20"/>
          <w:lang w:eastAsia="en-US"/>
        </w:rPr>
      </w:pPr>
      <w:r w:rsidRPr="00566766">
        <w:rPr>
          <w:rFonts w:ascii="Arial" w:hAnsi="Arial" w:cs="Times New Roman"/>
          <w:color w:val="auto"/>
          <w:szCs w:val="20"/>
          <w:lang w:eastAsia="en-US"/>
        </w:rPr>
        <w:t xml:space="preserve">By email: </w:t>
      </w:r>
      <w:hyperlink r:id="rId8" w:history="1">
        <w:r w:rsidRPr="00A75C21">
          <w:rPr>
            <w:rStyle w:val="Hyperlink"/>
            <w:rFonts w:ascii="Arial" w:hAnsi="Arial" w:cs="Times New Roman"/>
            <w:szCs w:val="20"/>
            <w:lang w:eastAsia="en-US"/>
          </w:rPr>
          <w:t>communityconsultation@treasury.tas.gov.au</w:t>
        </w:r>
      </w:hyperlink>
      <w:r>
        <w:rPr>
          <w:rFonts w:ascii="Arial" w:hAnsi="Arial" w:cs="Times New Roman"/>
          <w:color w:val="auto"/>
          <w:szCs w:val="20"/>
          <w:lang w:eastAsia="en-US"/>
        </w:rPr>
        <w:t xml:space="preserve">  </w:t>
      </w:r>
    </w:p>
    <w:p w:rsidR="003C6607" w:rsidRPr="00566766" w:rsidRDefault="003C6607" w:rsidP="00714E2F">
      <w:pPr>
        <w:pStyle w:val="Default"/>
        <w:spacing w:line="276" w:lineRule="auto"/>
        <w:rPr>
          <w:rFonts w:ascii="Arial" w:hAnsi="Arial" w:cs="Times New Roman"/>
          <w:color w:val="auto"/>
          <w:szCs w:val="20"/>
          <w:lang w:eastAsia="en-US"/>
        </w:rPr>
      </w:pPr>
      <w:bookmarkStart w:id="0" w:name="_GoBack"/>
      <w:bookmarkEnd w:id="0"/>
    </w:p>
    <w:p w:rsidR="003C6607" w:rsidRDefault="003C6607" w:rsidP="001409B4">
      <w:pPr>
        <w:pStyle w:val="Privateandconfidential"/>
        <w:spacing w:line="276" w:lineRule="auto"/>
        <w:ind w:right="-1079"/>
      </w:pPr>
    </w:p>
    <w:p w:rsidR="003C6607" w:rsidRDefault="003C6607" w:rsidP="001409B4">
      <w:pPr>
        <w:tabs>
          <w:tab w:val="right" w:pos="10490"/>
        </w:tabs>
        <w:rPr>
          <w:bCs/>
        </w:rPr>
      </w:pPr>
      <w:r>
        <w:rPr>
          <w:bCs/>
        </w:rPr>
        <w:t xml:space="preserve">To Whom </w:t>
      </w:r>
      <w:proofErr w:type="gramStart"/>
      <w:r>
        <w:rPr>
          <w:bCs/>
        </w:rPr>
        <w:t>it</w:t>
      </w:r>
      <w:proofErr w:type="gramEnd"/>
      <w:r>
        <w:rPr>
          <w:bCs/>
        </w:rPr>
        <w:t xml:space="preserve"> May Concern </w:t>
      </w:r>
    </w:p>
    <w:p w:rsidR="003C6607" w:rsidRPr="00D379BA" w:rsidRDefault="00E043CE" w:rsidP="001409B4">
      <w:pPr>
        <w:pStyle w:val="Heading1"/>
        <w:rPr>
          <w:i/>
        </w:rPr>
      </w:pPr>
      <w:r>
        <w:rPr>
          <w:i/>
        </w:rPr>
        <w:t>State Budget Community Consultation</w:t>
      </w:r>
    </w:p>
    <w:p w:rsidR="00E043CE" w:rsidRDefault="00E043CE" w:rsidP="001409B4">
      <w:r>
        <w:t xml:space="preserve">Thank you for the opportunity to make a submission on the Budget development for the 2021-22 Budget.   </w:t>
      </w:r>
    </w:p>
    <w:p w:rsidR="000F3EE3" w:rsidRDefault="000F3EE3" w:rsidP="000F3EE3">
      <w:r>
        <w:t xml:space="preserve">I am aware of, and support, proposals for the adoption of a:  </w:t>
      </w:r>
    </w:p>
    <w:p w:rsidR="000F3EE3" w:rsidRDefault="000F3EE3" w:rsidP="000F3EE3">
      <w:pPr>
        <w:pStyle w:val="ListParagraph"/>
        <w:numPr>
          <w:ilvl w:val="0"/>
          <w:numId w:val="6"/>
        </w:numPr>
      </w:pPr>
      <w:r>
        <w:t xml:space="preserve">gender impact assessment for State Budget papers, and </w:t>
      </w:r>
    </w:p>
    <w:p w:rsidR="000F3EE3" w:rsidRDefault="000F3EE3" w:rsidP="000F3EE3">
      <w:pPr>
        <w:pStyle w:val="ListParagraph"/>
        <w:numPr>
          <w:ilvl w:val="0"/>
          <w:numId w:val="6"/>
        </w:numPr>
      </w:pPr>
      <w:proofErr w:type="gramStart"/>
      <w:r>
        <w:t>gender</w:t>
      </w:r>
      <w:proofErr w:type="gramEnd"/>
      <w:r>
        <w:t xml:space="preserve"> impact statement as an attachment to Cabinet papers.</w:t>
      </w:r>
    </w:p>
    <w:p w:rsidR="00E043CE" w:rsidRDefault="00E043CE" w:rsidP="001409B4">
      <w:r>
        <w:t xml:space="preserve">As Anti-Discrimination Commissioner, I am responsible for administering the </w:t>
      </w:r>
      <w:r>
        <w:rPr>
          <w:i/>
        </w:rPr>
        <w:t xml:space="preserve">Anti-Discrimination Act 1998 </w:t>
      </w:r>
      <w:r>
        <w:t>(</w:t>
      </w:r>
      <w:proofErr w:type="gramStart"/>
      <w:r>
        <w:t>Tas</w:t>
      </w:r>
      <w:proofErr w:type="gramEnd"/>
      <w:r>
        <w:t>) (the Act).  The Act prohibits both direct</w:t>
      </w:r>
      <w:r>
        <w:rPr>
          <w:rStyle w:val="FootnoteReference"/>
        </w:rPr>
        <w:footnoteReference w:id="1"/>
      </w:r>
      <w:r>
        <w:t xml:space="preserve"> and indirect</w:t>
      </w:r>
      <w:r>
        <w:rPr>
          <w:rStyle w:val="FootnoteReference"/>
        </w:rPr>
        <w:footnoteReference w:id="2"/>
      </w:r>
      <w:r>
        <w:t xml:space="preserve"> discrimination on the basis of gender</w:t>
      </w:r>
      <w:r>
        <w:rPr>
          <w:rStyle w:val="FootnoteReference"/>
        </w:rPr>
        <w:footnoteReference w:id="3"/>
      </w:r>
      <w:r>
        <w:t>.</w:t>
      </w:r>
      <w:r w:rsidR="00C708D9">
        <w:t xml:space="preserve"> </w:t>
      </w:r>
    </w:p>
    <w:p w:rsidR="00F95B1C" w:rsidRDefault="00AA5478" w:rsidP="001409B4">
      <w:r>
        <w:t xml:space="preserve">Governmental policy </w:t>
      </w:r>
      <w:r w:rsidR="00774402">
        <w:t>is a core mechanism for addressing discrimination and gender inequity. Importantly, t</w:t>
      </w:r>
      <w:r w:rsidR="00F95B1C">
        <w:t>he Tasmanian Government recognises that ‘the way policies and programs are developed and implemented can sometimes create unintended barriers to gender equity’.</w:t>
      </w:r>
      <w:r w:rsidR="00F95B1C">
        <w:rPr>
          <w:rStyle w:val="FootnoteReference"/>
        </w:rPr>
        <w:footnoteReference w:id="4"/>
      </w:r>
      <w:r w:rsidR="00F95B1C">
        <w:t xml:space="preserve"> </w:t>
      </w:r>
    </w:p>
    <w:p w:rsidR="000E3A7F" w:rsidRDefault="007D6228" w:rsidP="000E3A7F">
      <w:r>
        <w:t>Currently, evidence</w:t>
      </w:r>
      <w:r>
        <w:rPr>
          <w:rStyle w:val="FootnoteReference"/>
        </w:rPr>
        <w:footnoteReference w:id="5"/>
      </w:r>
      <w:r>
        <w:t xml:space="preserve"> demonstrates that </w:t>
      </w:r>
      <w:r w:rsidR="00944176">
        <w:t xml:space="preserve">Australian </w:t>
      </w:r>
      <w:r>
        <w:t xml:space="preserve">women face worse outcomes </w:t>
      </w:r>
      <w:r w:rsidR="00944176">
        <w:t xml:space="preserve">compared to men </w:t>
      </w:r>
      <w:r>
        <w:t xml:space="preserve">across a range of different areas: </w:t>
      </w:r>
    </w:p>
    <w:p w:rsidR="000E3A7F" w:rsidRDefault="000E3A7F" w:rsidP="000E3A7F">
      <w:pPr>
        <w:pStyle w:val="ListParagraph"/>
        <w:numPr>
          <w:ilvl w:val="0"/>
          <w:numId w:val="5"/>
        </w:numPr>
      </w:pPr>
      <w:r>
        <w:lastRenderedPageBreak/>
        <w:t xml:space="preserve">Australia’s national gender pay gap is 14%. </w:t>
      </w:r>
    </w:p>
    <w:p w:rsidR="000E3A7F" w:rsidRPr="000E3A7F" w:rsidRDefault="007D6228" w:rsidP="000E3A7F">
      <w:pPr>
        <w:pStyle w:val="ListParagraph"/>
        <w:numPr>
          <w:ilvl w:val="0"/>
          <w:numId w:val="5"/>
        </w:numPr>
      </w:pPr>
      <w:r>
        <w:t>6</w:t>
      </w:r>
      <w:r w:rsidR="000E3A7F" w:rsidRPr="007D6228">
        <w:t>4% of women with children 5 years old or younger participate</w:t>
      </w:r>
      <w:r>
        <w:t xml:space="preserve"> in the workforce</w:t>
      </w:r>
      <w:r w:rsidR="000E3A7F" w:rsidRPr="007D6228">
        <w:t>, compared with 95% of men. </w:t>
      </w:r>
    </w:p>
    <w:p w:rsidR="000E3A7F" w:rsidRDefault="000E3A7F" w:rsidP="000E3A7F">
      <w:pPr>
        <w:pStyle w:val="ListParagraph"/>
        <w:numPr>
          <w:ilvl w:val="0"/>
          <w:numId w:val="5"/>
        </w:numPr>
      </w:pPr>
      <w:r w:rsidRPr="007D6228">
        <w:t xml:space="preserve">Women retire with significantly less superannuation than men. </w:t>
      </w:r>
    </w:p>
    <w:p w:rsidR="007D6228" w:rsidRDefault="007D6228" w:rsidP="000E3A7F">
      <w:pPr>
        <w:pStyle w:val="ListParagraph"/>
        <w:numPr>
          <w:ilvl w:val="0"/>
          <w:numId w:val="5"/>
        </w:numPr>
      </w:pPr>
      <w:r>
        <w:t xml:space="preserve">Women out-number men in completion of higher education rates but the pay gap exists for 16/21 fields of study at undergraduate level, and 16/19 at postgraduate level. </w:t>
      </w:r>
    </w:p>
    <w:p w:rsidR="00F95B1C" w:rsidRPr="000E3A7F" w:rsidRDefault="00F95B1C" w:rsidP="00F95B1C">
      <w:pPr>
        <w:pStyle w:val="ListParagraph"/>
        <w:numPr>
          <w:ilvl w:val="0"/>
          <w:numId w:val="5"/>
        </w:numPr>
      </w:pPr>
      <w:r>
        <w:t>30.2% of boards of governing bodies have no female directors, compared to 0.4% with no male directors.</w:t>
      </w:r>
      <w:r>
        <w:rPr>
          <w:rStyle w:val="FootnoteReference"/>
        </w:rPr>
        <w:footnoteReference w:id="6"/>
      </w:r>
      <w:r>
        <w:t xml:space="preserve"> </w:t>
      </w:r>
    </w:p>
    <w:p w:rsidR="000E3A7F" w:rsidRPr="000E3A7F" w:rsidRDefault="000E3A7F" w:rsidP="000E3A7F">
      <w:pPr>
        <w:pStyle w:val="ListParagraph"/>
        <w:numPr>
          <w:ilvl w:val="0"/>
          <w:numId w:val="5"/>
        </w:numPr>
      </w:pPr>
      <w:r w:rsidRPr="007D6228">
        <w:t>Women are more likely to report experiencing high or v</w:t>
      </w:r>
      <w:r w:rsidR="007D6228">
        <w:t>ery high level</w:t>
      </w:r>
      <w:r w:rsidRPr="007D6228">
        <w:t>s of psychological distre</w:t>
      </w:r>
      <w:r w:rsidR="007D6228">
        <w:t xml:space="preserve">ss or mood affective disorders than men. </w:t>
      </w:r>
    </w:p>
    <w:p w:rsidR="000E3A7F" w:rsidRPr="000E3A7F" w:rsidRDefault="000E3A7F" w:rsidP="000E3A7F">
      <w:pPr>
        <w:pStyle w:val="ListParagraph"/>
        <w:numPr>
          <w:ilvl w:val="0"/>
          <w:numId w:val="5"/>
        </w:numPr>
      </w:pPr>
      <w:r w:rsidRPr="007D6228">
        <w:t xml:space="preserve">Women are five times more likely to be victims of sexual assault. </w:t>
      </w:r>
    </w:p>
    <w:p w:rsidR="000E3A7F" w:rsidRDefault="000E3A7F" w:rsidP="000E3A7F">
      <w:pPr>
        <w:pStyle w:val="ListParagraph"/>
        <w:numPr>
          <w:ilvl w:val="0"/>
          <w:numId w:val="5"/>
        </w:numPr>
      </w:pPr>
      <w:r w:rsidRPr="007D6228">
        <w:t xml:space="preserve">Instances of sexual assault are increasing. </w:t>
      </w:r>
    </w:p>
    <w:p w:rsidR="00944176" w:rsidRDefault="00944176" w:rsidP="000E3A7F">
      <w:pPr>
        <w:pStyle w:val="ListParagraph"/>
        <w:numPr>
          <w:ilvl w:val="0"/>
          <w:numId w:val="5"/>
        </w:numPr>
      </w:pPr>
      <w:r>
        <w:t>In Tasmania, women account for 88% of sexual assault victims.</w:t>
      </w:r>
      <w:r>
        <w:rPr>
          <w:rStyle w:val="FootnoteReference"/>
        </w:rPr>
        <w:footnoteReference w:id="7"/>
      </w:r>
      <w:r>
        <w:t xml:space="preserve"> </w:t>
      </w:r>
    </w:p>
    <w:p w:rsidR="00E043CE" w:rsidRDefault="00E043CE" w:rsidP="00385ECF">
      <w:r>
        <w:t>In recent years Tasmania has sought to make progress in the area of gender equity, however unavoidable barriers emerged during 2020, the effects of which have profoundly and di</w:t>
      </w:r>
      <w:r w:rsidR="00B02C8D">
        <w:t>sproportionately impacted women. These effects were</w:t>
      </w:r>
      <w:r w:rsidR="00D31D10">
        <w:t xml:space="preserve"> </w:t>
      </w:r>
      <w:r w:rsidR="00B02C8D">
        <w:t>specifically</w:t>
      </w:r>
      <w:r w:rsidR="00D31D10">
        <w:t xml:space="preserve"> in relation to unemployment, underemployment, lowered incomes, less secure work, greater household and family demands</w:t>
      </w:r>
      <w:r w:rsidR="00AA5478">
        <w:t>,</w:t>
      </w:r>
      <w:r w:rsidR="00D31D10">
        <w:t xml:space="preserve"> and increased risk of domestic violence.</w:t>
      </w:r>
      <w:r>
        <w:rPr>
          <w:rStyle w:val="FootnoteReference"/>
        </w:rPr>
        <w:footnoteReference w:id="8"/>
      </w:r>
      <w:r>
        <w:t xml:space="preserve"> </w:t>
      </w:r>
    </w:p>
    <w:p w:rsidR="00F30F94" w:rsidRDefault="00F30F94" w:rsidP="001409B4">
      <w:pPr>
        <w:suppressAutoHyphens w:val="0"/>
        <w:overflowPunct/>
        <w:autoSpaceDE/>
        <w:autoSpaceDN/>
        <w:adjustRightInd/>
        <w:spacing w:after="0"/>
        <w:textAlignment w:val="auto"/>
      </w:pPr>
      <w:r>
        <w:t xml:space="preserve">The </w:t>
      </w:r>
      <w:r w:rsidRPr="00F30F94">
        <w:rPr>
          <w:i/>
        </w:rPr>
        <w:t>Women’s Economic Security Statement</w:t>
      </w:r>
      <w:r>
        <w:rPr>
          <w:i/>
        </w:rPr>
        <w:t xml:space="preserve"> 2020</w:t>
      </w:r>
      <w:r>
        <w:t xml:space="preserve"> set out five key priority areas for Australia’s navigation out of the health and economic crisis resulting from COVID-19, being: </w:t>
      </w:r>
    </w:p>
    <w:p w:rsidR="00F30F94" w:rsidRDefault="00F95B1C" w:rsidP="001409B4">
      <w:pPr>
        <w:pStyle w:val="ListParagraph"/>
        <w:numPr>
          <w:ilvl w:val="0"/>
          <w:numId w:val="3"/>
        </w:numPr>
        <w:suppressAutoHyphens w:val="0"/>
        <w:overflowPunct/>
        <w:autoSpaceDE/>
        <w:autoSpaceDN/>
        <w:adjustRightInd/>
        <w:spacing w:before="240"/>
        <w:textAlignment w:val="auto"/>
      </w:pPr>
      <w:r>
        <w:t>R</w:t>
      </w:r>
      <w:r w:rsidR="00F30F94">
        <w:t>epair and rebuild women’s workforce participation and f</w:t>
      </w:r>
      <w:r>
        <w:t>urther close the gender pay gap.</w:t>
      </w:r>
    </w:p>
    <w:p w:rsidR="00F30F94" w:rsidRDefault="00F95B1C" w:rsidP="001409B4">
      <w:pPr>
        <w:pStyle w:val="ListParagraph"/>
        <w:numPr>
          <w:ilvl w:val="0"/>
          <w:numId w:val="3"/>
        </w:numPr>
        <w:suppressAutoHyphens w:val="0"/>
        <w:overflowPunct/>
        <w:autoSpaceDE/>
        <w:autoSpaceDN/>
        <w:adjustRightInd/>
        <w:spacing w:before="240"/>
        <w:textAlignment w:val="auto"/>
      </w:pPr>
      <w:r>
        <w:t>G</w:t>
      </w:r>
      <w:r w:rsidR="00F30F94">
        <w:t>reater choice and flexibility for families to manage work and care</w:t>
      </w:r>
      <w:r>
        <w:t>.</w:t>
      </w:r>
    </w:p>
    <w:p w:rsidR="00F30F94" w:rsidRDefault="00F95B1C" w:rsidP="001409B4">
      <w:pPr>
        <w:pStyle w:val="ListParagraph"/>
        <w:numPr>
          <w:ilvl w:val="0"/>
          <w:numId w:val="3"/>
        </w:numPr>
        <w:suppressAutoHyphens w:val="0"/>
        <w:overflowPunct/>
        <w:autoSpaceDE/>
        <w:autoSpaceDN/>
        <w:adjustRightInd/>
        <w:spacing w:before="240"/>
        <w:textAlignment w:val="auto"/>
      </w:pPr>
      <w:r>
        <w:t>S</w:t>
      </w:r>
      <w:r w:rsidR="00F30F94">
        <w:t>upport women as leaders and positive role models</w:t>
      </w:r>
      <w:r>
        <w:t>.</w:t>
      </w:r>
    </w:p>
    <w:p w:rsidR="00F30F94" w:rsidRDefault="00F95B1C" w:rsidP="001409B4">
      <w:pPr>
        <w:pStyle w:val="ListParagraph"/>
        <w:numPr>
          <w:ilvl w:val="0"/>
          <w:numId w:val="3"/>
        </w:numPr>
        <w:suppressAutoHyphens w:val="0"/>
        <w:overflowPunct/>
        <w:autoSpaceDE/>
        <w:autoSpaceDN/>
        <w:adjustRightInd/>
        <w:spacing w:before="240"/>
        <w:textAlignment w:val="auto"/>
      </w:pPr>
      <w:r>
        <w:t>R</w:t>
      </w:r>
      <w:r w:rsidR="00F30F94">
        <w:t>espond to the diverse needs of women</w:t>
      </w:r>
      <w:r>
        <w:t>.</w:t>
      </w:r>
    </w:p>
    <w:p w:rsidR="00F30F94" w:rsidRPr="00F30F94" w:rsidRDefault="00F95B1C" w:rsidP="001409B4">
      <w:pPr>
        <w:pStyle w:val="ListParagraph"/>
        <w:numPr>
          <w:ilvl w:val="0"/>
          <w:numId w:val="3"/>
        </w:numPr>
        <w:suppressAutoHyphens w:val="0"/>
        <w:overflowPunct/>
        <w:autoSpaceDE/>
        <w:autoSpaceDN/>
        <w:adjustRightInd/>
        <w:spacing w:before="240"/>
        <w:textAlignment w:val="auto"/>
      </w:pPr>
      <w:r>
        <w:t>S</w:t>
      </w:r>
      <w:r w:rsidR="00F30F94">
        <w:t>upport women to be safe at work and home.</w:t>
      </w:r>
    </w:p>
    <w:p w:rsidR="00AA5478" w:rsidRDefault="00F30F94" w:rsidP="001409B4">
      <w:r>
        <w:t xml:space="preserve">That same statement </w:t>
      </w:r>
      <w:r w:rsidR="00D23D0E">
        <w:t>confirms</w:t>
      </w:r>
      <w:r>
        <w:t xml:space="preserve"> th</w:t>
      </w:r>
      <w:r w:rsidR="00385ECF">
        <w:t>e</w:t>
      </w:r>
      <w:r>
        <w:t xml:space="preserve"> work will be informed by ‘gender-disaggregated data, analysis about gender impacts and the diverse experiences of women’. </w:t>
      </w:r>
    </w:p>
    <w:p w:rsidR="00C5476C" w:rsidRDefault="000F3EE3" w:rsidP="00C61719">
      <w:r>
        <w:t>In relation to Tasmania’s recovery efforts, t</w:t>
      </w:r>
      <w:r w:rsidR="00385ECF">
        <w:t xml:space="preserve">he </w:t>
      </w:r>
      <w:r w:rsidR="00385ECF">
        <w:rPr>
          <w:i/>
        </w:rPr>
        <w:t xml:space="preserve">Leadership &amp; </w:t>
      </w:r>
      <w:r w:rsidR="00385ECF" w:rsidRPr="00A96F12">
        <w:rPr>
          <w:i/>
        </w:rPr>
        <w:t>Participation for Women Action Plan 2021 – 23</w:t>
      </w:r>
      <w:r w:rsidR="00385ECF">
        <w:t xml:space="preserve">, developed as part of the </w:t>
      </w:r>
      <w:r w:rsidR="00385ECF" w:rsidRPr="00A96F12">
        <w:rPr>
          <w:i/>
        </w:rPr>
        <w:t xml:space="preserve">Tasmanian Women’s Strategy 2018 – 21 </w:t>
      </w:r>
      <w:r w:rsidR="00385ECF">
        <w:t xml:space="preserve">sets out the Tasmanian Government’s commitment to ‘ensuring that </w:t>
      </w:r>
      <w:r w:rsidR="00385ECF">
        <w:lastRenderedPageBreak/>
        <w:t>opportunities for women and girls are front and centre of our plan as we rebuild a stronger Tasmania’.</w:t>
      </w:r>
      <w:r w:rsidR="00385ECF">
        <w:rPr>
          <w:rStyle w:val="FootnoteReference"/>
        </w:rPr>
        <w:footnoteReference w:id="9"/>
      </w:r>
      <w:r w:rsidR="00AA5478">
        <w:t xml:space="preserve"> </w:t>
      </w:r>
    </w:p>
    <w:p w:rsidR="00D23D0E" w:rsidRDefault="00D23D0E" w:rsidP="00C61719">
      <w:r>
        <w:t xml:space="preserve">In actioning the commitment that ‘women and girls are front and centre’ a gender impact assessment should be undertaken as part of the process for the 2021-22 Budget, and budgets into the future. </w:t>
      </w:r>
    </w:p>
    <w:p w:rsidR="00C5476C" w:rsidRDefault="00D23D0E" w:rsidP="00C61719">
      <w:r>
        <w:t xml:space="preserve">This is particularly </w:t>
      </w:r>
      <w:r w:rsidR="00E26F92">
        <w:t>important</w:t>
      </w:r>
      <w:r>
        <w:t xml:space="preserve">, as even prior </w:t>
      </w:r>
      <w:r w:rsidR="00E26F92">
        <w:t>to the events of</w:t>
      </w:r>
      <w:r>
        <w:t xml:space="preserve"> 2020,</w:t>
      </w:r>
      <w:r w:rsidR="00E26F92">
        <w:t xml:space="preserve"> Australia has been sliding backwards in relation to gender equality. </w:t>
      </w:r>
      <w:r w:rsidR="00C5476C">
        <w:t xml:space="preserve">In recent years, Australia </w:t>
      </w:r>
      <w:r w:rsidR="000F3EE3">
        <w:t>has been</w:t>
      </w:r>
      <w:r w:rsidR="00C5476C">
        <w:t xml:space="preserve"> ranked lower on a global index measuring gender equality, </w:t>
      </w:r>
      <w:r w:rsidR="000F3EE3">
        <w:t>being</w:t>
      </w:r>
      <w:r w:rsidR="00C5476C">
        <w:t xml:space="preserve"> ranked 15</w:t>
      </w:r>
      <w:r w:rsidR="00C5476C" w:rsidRPr="00C5476C">
        <w:rPr>
          <w:vertAlign w:val="superscript"/>
        </w:rPr>
        <w:t>th</w:t>
      </w:r>
      <w:r w:rsidR="00B02C8D">
        <w:t xml:space="preserve"> in 2006, and dropp</w:t>
      </w:r>
      <w:r w:rsidR="000F3EE3">
        <w:t>ing</w:t>
      </w:r>
      <w:r w:rsidR="00B02C8D">
        <w:t xml:space="preserve"> twenty places, to</w:t>
      </w:r>
      <w:r w:rsidR="00C5476C">
        <w:t xml:space="preserve"> 35</w:t>
      </w:r>
      <w:r w:rsidR="00C5476C" w:rsidRPr="00C5476C">
        <w:rPr>
          <w:vertAlign w:val="superscript"/>
        </w:rPr>
        <w:t>th</w:t>
      </w:r>
      <w:r w:rsidR="00C5476C">
        <w:t xml:space="preserve"> in 2017.</w:t>
      </w:r>
      <w:r w:rsidR="00C5476C">
        <w:rPr>
          <w:rStyle w:val="FootnoteReference"/>
        </w:rPr>
        <w:footnoteReference w:id="10"/>
      </w:r>
      <w:r w:rsidR="00C5476C">
        <w:t xml:space="preserve"> </w:t>
      </w:r>
    </w:p>
    <w:p w:rsidR="00C5476C" w:rsidRDefault="00B02C8D" w:rsidP="00C61719">
      <w:r>
        <w:t>Between 1984 and</w:t>
      </w:r>
      <w:r w:rsidR="003F46E6">
        <w:t xml:space="preserve"> 2014, a statement regarding budget measures which may disproportionately affect wom</w:t>
      </w:r>
      <w:r>
        <w:t>en was published at budget time.</w:t>
      </w:r>
      <w:r w:rsidR="003F46E6">
        <w:t xml:space="preserve"> </w:t>
      </w:r>
      <w:r>
        <w:t>A</w:t>
      </w:r>
      <w:r w:rsidR="003F46E6">
        <w:t>s a result</w:t>
      </w:r>
      <w:r w:rsidR="000F3EE3">
        <w:t>,</w:t>
      </w:r>
      <w:r w:rsidR="003F46E6">
        <w:t xml:space="preserve"> decisions were able to be improved, the myth of a gender-neutral budget was challenged and the Government was provided with substantive information about potential unforeseen impacts on women.</w:t>
      </w:r>
      <w:r w:rsidR="003F46E6">
        <w:rPr>
          <w:rStyle w:val="FootnoteReference"/>
        </w:rPr>
        <w:footnoteReference w:id="11"/>
      </w:r>
      <w:r w:rsidR="003F46E6">
        <w:t xml:space="preserve">  </w:t>
      </w:r>
    </w:p>
    <w:p w:rsidR="00C5476C" w:rsidRDefault="00F30F94" w:rsidP="001409B4">
      <w:r>
        <w:t xml:space="preserve">To achieve what the Tasmanian Government </w:t>
      </w:r>
      <w:r w:rsidR="00E26F92">
        <w:t xml:space="preserve">sets out to achieve, it is vital </w:t>
      </w:r>
      <w:r>
        <w:t xml:space="preserve">that a gender lens is applied to </w:t>
      </w:r>
      <w:r w:rsidR="00385ECF">
        <w:t xml:space="preserve">proposed </w:t>
      </w:r>
      <w:r w:rsidR="004D456A">
        <w:t>budgets</w:t>
      </w:r>
      <w:r>
        <w:t>.</w:t>
      </w:r>
      <w:r w:rsidR="00385ECF">
        <w:t xml:space="preserve"> </w:t>
      </w:r>
      <w:r w:rsidR="000325C7">
        <w:t xml:space="preserve"> </w:t>
      </w:r>
      <w:r w:rsidR="00C5476C">
        <w:t xml:space="preserve">Such a commitment would </w:t>
      </w:r>
      <w:r w:rsidR="00247A8F">
        <w:t>ensure</w:t>
      </w:r>
      <w:r w:rsidR="00C5476C">
        <w:t xml:space="preserve"> consideration of the</w:t>
      </w:r>
      <w:r>
        <w:t xml:space="preserve"> impact of policie</w:t>
      </w:r>
      <w:r w:rsidR="00247A8F">
        <w:t>s on girls and women</w:t>
      </w:r>
      <w:r w:rsidR="00C5476C">
        <w:t xml:space="preserve"> before implementation</w:t>
      </w:r>
      <w:r w:rsidR="008279AD">
        <w:t xml:space="preserve">, </w:t>
      </w:r>
      <w:r>
        <w:t xml:space="preserve">allow </w:t>
      </w:r>
      <w:r w:rsidR="008279AD">
        <w:t xml:space="preserve">for </w:t>
      </w:r>
      <w:r>
        <w:t>informed decision-making to take place, adjustments to be made where needed and gender equality to underpin all policies</w:t>
      </w:r>
      <w:r w:rsidR="00247A8F">
        <w:t>.</w:t>
      </w:r>
    </w:p>
    <w:p w:rsidR="004D456A" w:rsidRDefault="00247A8F" w:rsidP="000325C7">
      <w:r>
        <w:t>Implementation of a gender impact assessment for State Budget papers, and gender impact statement as an attachment to Cabinet papers</w:t>
      </w:r>
      <w:r w:rsidR="000F3EE3">
        <w:t>,</w:t>
      </w:r>
      <w:r>
        <w:t xml:space="preserve"> will enable the Tasmanian Government to take a proactive approach</w:t>
      </w:r>
      <w:r w:rsidR="00B02C8D">
        <w:t xml:space="preserve"> to gender equality</w:t>
      </w:r>
      <w:r w:rsidR="000F3EE3">
        <w:t xml:space="preserve"> i</w:t>
      </w:r>
      <w:r w:rsidR="00B02C8D">
        <w:t>nstead of responding to issues as they emerge</w:t>
      </w:r>
      <w:r w:rsidR="000F3EE3">
        <w:t xml:space="preserve">. </w:t>
      </w:r>
      <w:r w:rsidR="004D456A">
        <w:t xml:space="preserve">Such information and analysis will guide the formulation of policy proposals and expedite refinement and improvement.  </w:t>
      </w:r>
    </w:p>
    <w:p w:rsidR="000F3EE3" w:rsidRDefault="004D456A" w:rsidP="000325C7">
      <w:r>
        <w:t xml:space="preserve">As Tasmania responds to challenges, both new and old, </w:t>
      </w:r>
      <w:r w:rsidR="000F3EE3">
        <w:t>b</w:t>
      </w:r>
      <w:r w:rsidR="000325C7">
        <w:t>uilding a gender lens into the process of budget development</w:t>
      </w:r>
      <w:r w:rsidR="008279AD">
        <w:t xml:space="preserve"> </w:t>
      </w:r>
      <w:r w:rsidR="000F3EE3">
        <w:t>will</w:t>
      </w:r>
      <w:r w:rsidR="008279AD">
        <w:t xml:space="preserve"> ultimately result in socially and economically robust policies which are </w:t>
      </w:r>
      <w:r w:rsidR="00F30F94">
        <w:t>truly reflective of the</w:t>
      </w:r>
      <w:r w:rsidR="008279AD">
        <w:t xml:space="preserve"> needs of the</w:t>
      </w:r>
      <w:r w:rsidR="00F30F94">
        <w:t xml:space="preserve"> population</w:t>
      </w:r>
      <w:r>
        <w:t>, and will support the Tasmanian Government’s commitment to</w:t>
      </w:r>
      <w:r w:rsidR="000F3EE3">
        <w:t xml:space="preserve"> </w:t>
      </w:r>
      <w:r>
        <w:t xml:space="preserve">addressing gender discrimination and working towards gender equality. </w:t>
      </w:r>
    </w:p>
    <w:p w:rsidR="003C6607" w:rsidRDefault="003C6607" w:rsidP="001409B4">
      <w:pPr>
        <w:suppressAutoHyphens w:val="0"/>
        <w:overflowPunct/>
        <w:autoSpaceDE/>
        <w:autoSpaceDN/>
        <w:adjustRightInd/>
        <w:spacing w:after="0"/>
        <w:textAlignment w:val="auto"/>
      </w:pPr>
      <w:r>
        <w:t xml:space="preserve">If you have any questions, please contact </w:t>
      </w:r>
      <w:r>
        <w:rPr>
          <w:noProof/>
        </w:rPr>
        <w:t>me</w:t>
      </w:r>
      <w:r>
        <w:t xml:space="preserve"> </w:t>
      </w:r>
      <w:r>
        <w:rPr>
          <w:bCs/>
        </w:rPr>
        <w:t xml:space="preserve">on (03) 6165 7515 or </w:t>
      </w:r>
      <w:hyperlink r:id="rId9" w:history="1">
        <w:r w:rsidRPr="0045175F">
          <w:rPr>
            <w:rStyle w:val="Hyperlink"/>
            <w:bCs/>
          </w:rPr>
          <w:t>EOT.Commissioner@equalopportunity.tas.gov.au</w:t>
        </w:r>
      </w:hyperlink>
      <w:r w:rsidRPr="000B7AEB">
        <w:t>.</w:t>
      </w:r>
    </w:p>
    <w:p w:rsidR="003C6607" w:rsidRDefault="003C6607" w:rsidP="001409B4">
      <w:pPr>
        <w:pStyle w:val="Yourssincerely"/>
        <w:spacing w:before="360" w:after="600"/>
      </w:pPr>
      <w:r>
        <w:lastRenderedPageBreak/>
        <w:t>Yours sincerely</w:t>
      </w:r>
    </w:p>
    <w:p w:rsidR="003C6607" w:rsidRDefault="003C6607" w:rsidP="001409B4">
      <w:pPr>
        <w:pStyle w:val="Name"/>
        <w:spacing w:line="276" w:lineRule="auto"/>
      </w:pPr>
      <w:r>
        <w:t>Sarah Bolt</w:t>
      </w:r>
    </w:p>
    <w:p w:rsidR="003C6607" w:rsidRDefault="003C6607" w:rsidP="001409B4">
      <w:pPr>
        <w:pStyle w:val="Jobtitle"/>
      </w:pPr>
      <w:r>
        <w:t>Anti-Discrimination Commissioner</w:t>
      </w:r>
    </w:p>
    <w:p w:rsidR="003C6607" w:rsidRDefault="009B258F" w:rsidP="001409B4">
      <w:pPr>
        <w:pStyle w:val="Dateline"/>
        <w:ind w:left="0" w:firstLine="720"/>
      </w:pPr>
      <w:r>
        <w:t xml:space="preserve">19 </w:t>
      </w:r>
      <w:r w:rsidR="00E043CE">
        <w:t>March</w:t>
      </w:r>
      <w:r w:rsidR="003C6607" w:rsidRPr="001E3DBD">
        <w:t xml:space="preserve"> 202</w:t>
      </w:r>
      <w:r w:rsidR="003C6607">
        <w:t>1</w:t>
      </w:r>
    </w:p>
    <w:p w:rsidR="0098182C" w:rsidRDefault="0098182C" w:rsidP="001409B4"/>
    <w:sectPr w:rsidR="0098182C" w:rsidSect="00385ECF">
      <w:headerReference w:type="even" r:id="rId10"/>
      <w:footerReference w:type="default" r:id="rId11"/>
      <w:headerReference w:type="first" r:id="rId12"/>
      <w:footerReference w:type="first" r:id="rId13"/>
      <w:pgSz w:w="11906" w:h="16838" w:code="9"/>
      <w:pgMar w:top="1135" w:right="1985" w:bottom="851" w:left="851" w:header="0" w:footer="72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96" w:rsidRDefault="00CD4796" w:rsidP="003C6607">
      <w:pPr>
        <w:spacing w:after="0" w:line="240" w:lineRule="auto"/>
      </w:pPr>
      <w:r>
        <w:separator/>
      </w:r>
    </w:p>
  </w:endnote>
  <w:endnote w:type="continuationSeparator" w:id="0">
    <w:p w:rsidR="00CD4796" w:rsidRDefault="00CD4796" w:rsidP="003C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86380"/>
      <w:docPartObj>
        <w:docPartGallery w:val="Page Numbers (Bottom of Page)"/>
        <w:docPartUnique/>
      </w:docPartObj>
    </w:sdtPr>
    <w:sdtEndPr>
      <w:rPr>
        <w:noProof/>
      </w:rPr>
    </w:sdtEndPr>
    <w:sdtContent>
      <w:p w:rsidR="00774402" w:rsidRPr="00E922E2" w:rsidRDefault="00774402" w:rsidP="00385ECF">
        <w:pPr>
          <w:pStyle w:val="Footer"/>
          <w:jc w:val="center"/>
        </w:pPr>
        <w:r>
          <w:fldChar w:fldCharType="begin"/>
        </w:r>
        <w:r>
          <w:instrText xml:space="preserve"> PAGE   \* MERGEFORMAT </w:instrText>
        </w:r>
        <w:r>
          <w:fldChar w:fldCharType="separate"/>
        </w:r>
        <w:r w:rsidR="00714E2F">
          <w:rPr>
            <w:noProof/>
          </w:rPr>
          <w:t>- 4 -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02" w:rsidRDefault="00774402" w:rsidP="00385ECF">
    <w:pPr>
      <w:pStyle w:val="Footer"/>
      <w:spacing w:after="0"/>
      <w:ind w:left="-142"/>
    </w:pPr>
    <w:r>
      <w:rPr>
        <w:noProof/>
        <w:lang w:eastAsia="en-AU"/>
      </w:rPr>
      <w:drawing>
        <wp:inline distT="0" distB="0" distL="0" distR="0" wp14:anchorId="6FB7DE8A" wp14:editId="7BE14C64">
          <wp:extent cx="1710690" cy="613410"/>
          <wp:effectExtent l="0" t="0" r="3810" b="0"/>
          <wp:docPr id="18" name="Picture 18" descr="Celebrating Difference Embracing Equality" title="Letterhead footer"/>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690" cy="613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96" w:rsidRDefault="00CD4796" w:rsidP="003C6607">
      <w:pPr>
        <w:spacing w:after="0" w:line="240" w:lineRule="auto"/>
      </w:pPr>
      <w:r>
        <w:separator/>
      </w:r>
    </w:p>
  </w:footnote>
  <w:footnote w:type="continuationSeparator" w:id="0">
    <w:p w:rsidR="00CD4796" w:rsidRDefault="00CD4796" w:rsidP="003C6607">
      <w:pPr>
        <w:spacing w:after="0" w:line="240" w:lineRule="auto"/>
      </w:pPr>
      <w:r>
        <w:continuationSeparator/>
      </w:r>
    </w:p>
  </w:footnote>
  <w:footnote w:id="1">
    <w:p w:rsidR="00774402" w:rsidRPr="00D845E3" w:rsidRDefault="00774402" w:rsidP="00E043CE">
      <w:pPr>
        <w:pStyle w:val="FootnoteText"/>
      </w:pPr>
      <w:r>
        <w:rPr>
          <w:rStyle w:val="FootnoteReference"/>
        </w:rPr>
        <w:footnoteRef/>
      </w:r>
      <w:r w:rsidR="00AA5478">
        <w:t xml:space="preserve"> </w:t>
      </w:r>
      <w:r>
        <w:t xml:space="preserve">As defined in section 14 of the </w:t>
      </w:r>
      <w:r>
        <w:rPr>
          <w:i/>
        </w:rPr>
        <w:t xml:space="preserve">Anti-Discrimination Act 1998 </w:t>
      </w:r>
      <w:r>
        <w:t>(</w:t>
      </w:r>
      <w:proofErr w:type="gramStart"/>
      <w:r>
        <w:t>Tas</w:t>
      </w:r>
      <w:proofErr w:type="gramEnd"/>
      <w:r>
        <w:t>).</w:t>
      </w:r>
    </w:p>
  </w:footnote>
  <w:footnote w:id="2">
    <w:p w:rsidR="00774402" w:rsidRDefault="00774402" w:rsidP="00E043CE">
      <w:pPr>
        <w:pStyle w:val="FootnoteText"/>
      </w:pPr>
      <w:r>
        <w:rPr>
          <w:rStyle w:val="FootnoteReference"/>
        </w:rPr>
        <w:footnoteRef/>
      </w:r>
      <w:r w:rsidR="00AA5478">
        <w:t xml:space="preserve"> </w:t>
      </w:r>
      <w:r>
        <w:t xml:space="preserve">As defined in section 15 of the </w:t>
      </w:r>
      <w:r>
        <w:rPr>
          <w:i/>
        </w:rPr>
        <w:t xml:space="preserve">Anti-Discrimination Act 1998 </w:t>
      </w:r>
      <w:r>
        <w:t>(</w:t>
      </w:r>
      <w:proofErr w:type="gramStart"/>
      <w:r>
        <w:t>Tas</w:t>
      </w:r>
      <w:proofErr w:type="gramEnd"/>
      <w:r>
        <w:t>).</w:t>
      </w:r>
    </w:p>
  </w:footnote>
  <w:footnote w:id="3">
    <w:p w:rsidR="00774402" w:rsidRDefault="00774402" w:rsidP="00E043CE">
      <w:pPr>
        <w:pStyle w:val="FootnoteText"/>
      </w:pPr>
      <w:r>
        <w:rPr>
          <w:rStyle w:val="FootnoteReference"/>
        </w:rPr>
        <w:footnoteRef/>
      </w:r>
      <w:r w:rsidR="00AA5478">
        <w:t xml:space="preserve"> </w:t>
      </w:r>
      <w:r>
        <w:rPr>
          <w:i/>
        </w:rPr>
        <w:t xml:space="preserve">Anti-Discrimination Act 1998 </w:t>
      </w:r>
      <w:r>
        <w:t>(</w:t>
      </w:r>
      <w:proofErr w:type="gramStart"/>
      <w:r>
        <w:t>Tas</w:t>
      </w:r>
      <w:proofErr w:type="gramEnd"/>
      <w:r>
        <w:t>) s 16(e).</w:t>
      </w:r>
    </w:p>
  </w:footnote>
  <w:footnote w:id="4">
    <w:p w:rsidR="00774402" w:rsidRPr="00385ECF" w:rsidRDefault="00774402" w:rsidP="00F95B1C">
      <w:pPr>
        <w:pStyle w:val="FootnoteText"/>
      </w:pPr>
      <w:r>
        <w:rPr>
          <w:rStyle w:val="FootnoteReference"/>
        </w:rPr>
        <w:footnoteRef/>
      </w:r>
      <w:r w:rsidR="00AA5478">
        <w:t xml:space="preserve"> </w:t>
      </w:r>
      <w:r w:rsidR="00895AD1">
        <w:t>Women Tas,</w:t>
      </w:r>
      <w:r>
        <w:t xml:space="preserve"> </w:t>
      </w:r>
      <w:r w:rsidRPr="00895AD1">
        <w:rPr>
          <w:i/>
        </w:rPr>
        <w:t>Valuing Gender Inclusion</w:t>
      </w:r>
      <w:r w:rsidR="00895AD1">
        <w:t>, Tasmanian Government, undated,</w:t>
      </w:r>
      <w:r>
        <w:t xml:space="preserve"> </w:t>
      </w:r>
      <w:r w:rsidR="00895AD1">
        <w:t>&lt;</w:t>
      </w:r>
      <w:hyperlink r:id="rId1" w:history="1">
        <w:r w:rsidRPr="00A75C21">
          <w:rPr>
            <w:rStyle w:val="Hyperlink"/>
          </w:rPr>
          <w:t>https://www.women.tas.gov.au/information_and_resources/gender_analysis</w:t>
        </w:r>
      </w:hyperlink>
      <w:r w:rsidR="00895AD1">
        <w:t>&gt;</w:t>
      </w:r>
    </w:p>
  </w:footnote>
  <w:footnote w:id="5">
    <w:p w:rsidR="00AA5478" w:rsidRDefault="00774402">
      <w:pPr>
        <w:pStyle w:val="FootnoteText"/>
      </w:pPr>
      <w:r>
        <w:rPr>
          <w:rStyle w:val="FootnoteReference"/>
        </w:rPr>
        <w:footnoteRef/>
      </w:r>
      <w:r w:rsidR="00AA5478">
        <w:t xml:space="preserve"> </w:t>
      </w:r>
      <w:r>
        <w:t>Workplace Gender Equality Agency,</w:t>
      </w:r>
      <w:r>
        <w:rPr>
          <w:i/>
        </w:rPr>
        <w:t xml:space="preserve"> Gender Equality in Australia – A Guide to Gender Equality in 2020</w:t>
      </w:r>
      <w:r>
        <w:t>, Australian</w:t>
      </w:r>
      <w:r w:rsidR="00895AD1">
        <w:t xml:space="preserve"> Government, </w:t>
      </w:r>
      <w:r w:rsidR="00733664">
        <w:t>(</w:t>
      </w:r>
      <w:r w:rsidR="00895AD1">
        <w:t>25 September 2020</w:t>
      </w:r>
      <w:r w:rsidR="00733664">
        <w:t>)</w:t>
      </w:r>
      <w:r w:rsidR="00895AD1">
        <w:t>,</w:t>
      </w:r>
    </w:p>
    <w:p w:rsidR="00774402" w:rsidRPr="007D6228" w:rsidRDefault="00895AD1">
      <w:pPr>
        <w:pStyle w:val="FootnoteText"/>
      </w:pPr>
      <w:r>
        <w:t>&lt;</w:t>
      </w:r>
      <w:hyperlink r:id="rId2" w:history="1">
        <w:r w:rsidR="00774402" w:rsidRPr="00A75C21">
          <w:rPr>
            <w:rStyle w:val="Hyperlink"/>
          </w:rPr>
          <w:t>https://www.wgea.gov.au/newsroom/gender-equality-in-australia-a-guide-to-gender-equality-in-2020</w:t>
        </w:r>
      </w:hyperlink>
      <w:r>
        <w:t>&gt;</w:t>
      </w:r>
      <w:r w:rsidR="00774402">
        <w:t xml:space="preserve"> </w:t>
      </w:r>
    </w:p>
  </w:footnote>
  <w:footnote w:id="6">
    <w:p w:rsidR="00774402" w:rsidRPr="007D6228" w:rsidRDefault="00774402" w:rsidP="00F95B1C">
      <w:pPr>
        <w:pStyle w:val="FootnoteText"/>
      </w:pPr>
      <w:r>
        <w:rPr>
          <w:rStyle w:val="FootnoteReference"/>
        </w:rPr>
        <w:footnoteRef/>
      </w:r>
      <w:r w:rsidR="00C9746F">
        <w:t xml:space="preserve"> </w:t>
      </w:r>
      <w:r>
        <w:t xml:space="preserve">Workplace Gender Equality Agency, </w:t>
      </w:r>
      <w:r>
        <w:rPr>
          <w:i/>
        </w:rPr>
        <w:t>Gender workplace statistics at a glance 2021</w:t>
      </w:r>
      <w:r>
        <w:t>, Australi</w:t>
      </w:r>
      <w:r w:rsidR="00C9746F">
        <w:t xml:space="preserve">an Government, </w:t>
      </w:r>
      <w:r w:rsidR="00733664">
        <w:t>(</w:t>
      </w:r>
      <w:r w:rsidR="00C9746F">
        <w:t>25 February 2021</w:t>
      </w:r>
      <w:r w:rsidR="00733664">
        <w:t>),</w:t>
      </w:r>
      <w:r w:rsidR="00895AD1">
        <w:t xml:space="preserve"> &lt;</w:t>
      </w:r>
      <w:hyperlink r:id="rId3" w:history="1">
        <w:r w:rsidRPr="00A75C21">
          <w:rPr>
            <w:rStyle w:val="Hyperlink"/>
          </w:rPr>
          <w:t>https://www.wgea.gov.au/publications/gender-workplace-statistics-at-a-glance-2020</w:t>
        </w:r>
      </w:hyperlink>
      <w:r w:rsidR="00895AD1">
        <w:t>&gt;</w:t>
      </w:r>
    </w:p>
  </w:footnote>
  <w:footnote w:id="7">
    <w:p w:rsidR="00774402" w:rsidRPr="00944176" w:rsidRDefault="00774402">
      <w:pPr>
        <w:pStyle w:val="FootnoteText"/>
      </w:pPr>
      <w:r>
        <w:rPr>
          <w:rStyle w:val="FootnoteReference"/>
        </w:rPr>
        <w:footnoteRef/>
      </w:r>
      <w:r w:rsidR="00C9746F">
        <w:t xml:space="preserve"> </w:t>
      </w:r>
      <w:r>
        <w:t xml:space="preserve">Department of Police, Fire &amp; Emergency Management, </w:t>
      </w:r>
      <w:r>
        <w:rPr>
          <w:i/>
        </w:rPr>
        <w:t>Crime Statistics Supplement 2019 – 2020</w:t>
      </w:r>
      <w:r w:rsidR="00895AD1">
        <w:t xml:space="preserve">, Tasmanian Government, </w:t>
      </w:r>
      <w:r w:rsidR="00733664">
        <w:t>(</w:t>
      </w:r>
      <w:r w:rsidR="00895AD1">
        <w:t>2020</w:t>
      </w:r>
      <w:r w:rsidR="00733664">
        <w:t>)</w:t>
      </w:r>
      <w:r w:rsidR="00895AD1">
        <w:t xml:space="preserve">, </w:t>
      </w:r>
      <w:r w:rsidR="00733664">
        <w:t xml:space="preserve">3, </w:t>
      </w:r>
      <w:r w:rsidR="00895AD1">
        <w:t>&lt;</w:t>
      </w:r>
      <w:hyperlink r:id="rId4" w:history="1">
        <w:r w:rsidRPr="00A75C21">
          <w:rPr>
            <w:rStyle w:val="Hyperlink"/>
          </w:rPr>
          <w:t>https://www.police.tas.gov.au/uploads/Crime-Statistics-Supplement-2019-20.pdf</w:t>
        </w:r>
      </w:hyperlink>
      <w:r w:rsidR="00895AD1">
        <w:t>&gt;</w:t>
      </w:r>
    </w:p>
  </w:footnote>
  <w:footnote w:id="8">
    <w:p w:rsidR="00774402" w:rsidRPr="00D31D10" w:rsidRDefault="00774402" w:rsidP="00E043CE">
      <w:pPr>
        <w:pStyle w:val="FootnoteText"/>
      </w:pPr>
      <w:r>
        <w:rPr>
          <w:rStyle w:val="FootnoteReference"/>
        </w:rPr>
        <w:footnoteRef/>
      </w:r>
      <w:r w:rsidR="00C9746F">
        <w:t xml:space="preserve"> </w:t>
      </w:r>
      <w:r>
        <w:t xml:space="preserve">Sharp R, Costa M, Austen S, </w:t>
      </w:r>
      <w:r>
        <w:rPr>
          <w:i/>
        </w:rPr>
        <w:t>Each budget used to have a gender impact statements. We need it back, especially now</w:t>
      </w:r>
      <w:r>
        <w:t xml:space="preserve">, The </w:t>
      </w:r>
      <w:r w:rsidR="00895AD1">
        <w:t xml:space="preserve">Conversation, </w:t>
      </w:r>
      <w:r w:rsidR="00337B16">
        <w:t>(</w:t>
      </w:r>
      <w:r w:rsidR="00895AD1">
        <w:t>30 September 2020</w:t>
      </w:r>
      <w:r w:rsidR="00337B16">
        <w:t>)</w:t>
      </w:r>
      <w:r w:rsidR="00895AD1">
        <w:t>,</w:t>
      </w:r>
      <w:r>
        <w:t xml:space="preserve"> </w:t>
      </w:r>
      <w:r w:rsidR="00895AD1">
        <w:t>&lt;</w:t>
      </w:r>
      <w:hyperlink r:id="rId5" w:history="1">
        <w:r w:rsidRPr="00A75C21">
          <w:rPr>
            <w:rStyle w:val="Hyperlink"/>
          </w:rPr>
          <w:t>https://theconversation.com/each-budget-used-to-have-a-gender-impact-statement-we-need-it-back-especially-now-144849</w:t>
        </w:r>
      </w:hyperlink>
      <w:r w:rsidR="00895AD1">
        <w:t>&gt;</w:t>
      </w:r>
    </w:p>
  </w:footnote>
  <w:footnote w:id="9">
    <w:p w:rsidR="000325C7" w:rsidRDefault="00774402" w:rsidP="00385ECF">
      <w:pPr>
        <w:pStyle w:val="FootnoteText"/>
      </w:pPr>
      <w:r>
        <w:rPr>
          <w:rStyle w:val="FootnoteReference"/>
        </w:rPr>
        <w:footnoteRef/>
      </w:r>
      <w:r w:rsidR="00C9746F">
        <w:t xml:space="preserve"> </w:t>
      </w:r>
      <w:r w:rsidR="000325C7">
        <w:t xml:space="preserve">Department of Communities Tasmania, </w:t>
      </w:r>
      <w:r w:rsidRPr="000325C7">
        <w:rPr>
          <w:i/>
        </w:rPr>
        <w:t>Leadership &amp; Participation For Women Action Plan</w:t>
      </w:r>
      <w:r w:rsidR="000325C7">
        <w:rPr>
          <w:i/>
        </w:rPr>
        <w:t xml:space="preserve"> 2021-23, </w:t>
      </w:r>
      <w:r w:rsidR="000325C7">
        <w:t>Tasmanian Government,</w:t>
      </w:r>
      <w:r>
        <w:t xml:space="preserve"> </w:t>
      </w:r>
      <w:r w:rsidR="00337B16">
        <w:t>(</w:t>
      </w:r>
      <w:r w:rsidR="000325C7">
        <w:t>March 2021</w:t>
      </w:r>
      <w:r w:rsidR="00337B16">
        <w:t>)</w:t>
      </w:r>
      <w:r w:rsidR="00895AD1">
        <w:t>,</w:t>
      </w:r>
      <w:r w:rsidR="00337B16">
        <w:t xml:space="preserve"> </w:t>
      </w:r>
      <w:r w:rsidR="00084C68">
        <w:t xml:space="preserve">5, </w:t>
      </w:r>
      <w:r w:rsidR="00895AD1">
        <w:t>&lt;</w:t>
      </w:r>
      <w:hyperlink r:id="rId6" w:history="1">
        <w:r w:rsidR="000325C7" w:rsidRPr="00A75C21">
          <w:rPr>
            <w:rStyle w:val="Hyperlink"/>
          </w:rPr>
          <w:t>https://www.women.tas.gov.au/__data/assets/pdf_file/0032/148919/Leadership-and-Participation-Women-Action-Plan_wcag.pdf</w:t>
        </w:r>
      </w:hyperlink>
      <w:r w:rsidR="00895AD1">
        <w:t>&gt;</w:t>
      </w:r>
    </w:p>
  </w:footnote>
  <w:footnote w:id="10">
    <w:p w:rsidR="00774402" w:rsidRPr="00C5476C" w:rsidRDefault="00774402">
      <w:pPr>
        <w:pStyle w:val="FootnoteText"/>
      </w:pPr>
      <w:r>
        <w:rPr>
          <w:rStyle w:val="FootnoteReference"/>
        </w:rPr>
        <w:footnoteRef/>
      </w:r>
      <w:r w:rsidR="00C9746F">
        <w:t xml:space="preserve"> </w:t>
      </w:r>
      <w:r>
        <w:t xml:space="preserve">Australian Human Rights Commission, </w:t>
      </w:r>
      <w:r>
        <w:rPr>
          <w:i/>
        </w:rPr>
        <w:t>Face the Facts: Gender Equality 2018</w:t>
      </w:r>
      <w:r w:rsidR="00895AD1">
        <w:t>,</w:t>
      </w:r>
      <w:r w:rsidR="00895AD1">
        <w:rPr>
          <w:i/>
        </w:rPr>
        <w:t xml:space="preserve"> </w:t>
      </w:r>
      <w:r w:rsidR="00895AD1">
        <w:t>2018,&lt;</w:t>
      </w:r>
      <w:hyperlink r:id="rId7" w:history="1">
        <w:r w:rsidRPr="00A75C21">
          <w:rPr>
            <w:rStyle w:val="Hyperlink"/>
          </w:rPr>
          <w:t>https://humanrights.gov.au/our-work/</w:t>
        </w:r>
        <w:r w:rsidR="00B02C8D">
          <w:rPr>
            <w:rStyle w:val="Hyperlink"/>
          </w:rPr>
          <w:softHyphen/>
        </w:r>
        <w:r w:rsidR="00B02C8D">
          <w:rPr>
            <w:rStyle w:val="Hyperlink"/>
          </w:rPr>
          <w:softHyphen/>
        </w:r>
        <w:r w:rsidR="00B02C8D">
          <w:rPr>
            <w:rStyle w:val="Hyperlink"/>
          </w:rPr>
          <w:softHyphen/>
        </w:r>
        <w:r w:rsidR="00B02C8D">
          <w:rPr>
            <w:rStyle w:val="Hyperlink"/>
          </w:rPr>
          <w:softHyphen/>
        </w:r>
        <w:r w:rsidRPr="00A75C21">
          <w:rPr>
            <w:rStyle w:val="Hyperlink"/>
          </w:rPr>
          <w:t>education/face-facts-gender-equality-2018</w:t>
        </w:r>
      </w:hyperlink>
      <w:r w:rsidR="00895AD1">
        <w:t>&gt;</w:t>
      </w:r>
    </w:p>
  </w:footnote>
  <w:footnote w:id="11">
    <w:p w:rsidR="00774402" w:rsidRDefault="00774402">
      <w:pPr>
        <w:pStyle w:val="FootnoteText"/>
      </w:pPr>
      <w:r>
        <w:rPr>
          <w:rStyle w:val="FootnoteReference"/>
        </w:rPr>
        <w:footnoteRef/>
      </w:r>
      <w:r w:rsidR="00C9746F">
        <w:t xml:space="preserve"> </w:t>
      </w:r>
      <w:r>
        <w:t xml:space="preserve">See note 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02" w:rsidRDefault="00774402" w:rsidP="00385E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4402" w:rsidRDefault="00774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02" w:rsidRPr="00816CBD" w:rsidRDefault="00774402" w:rsidP="00385ECF">
    <w:pPr>
      <w:pStyle w:val="Header"/>
      <w:spacing w:after="0"/>
      <w:ind w:left="-851"/>
    </w:pPr>
    <w:r>
      <w:rPr>
        <w:noProof/>
        <w:lang w:eastAsia="en-AU"/>
      </w:rPr>
      <w:drawing>
        <wp:inline distT="0" distB="0" distL="0" distR="0" wp14:anchorId="7399D30E" wp14:editId="6F42C621">
          <wp:extent cx="7560000" cy="1945915"/>
          <wp:effectExtent l="0" t="0" r="3175" b="0"/>
          <wp:docPr id="17" name="Picture 17" descr="Equal Opportunity Tasmania&#10;Phone: 1300 305 062 (in Tasmania) or (03) 6165 7515&#10;E-mail: office@equalopportunity.tas.gov.au&#10;Office: Level 1, 54 Victoria St, Hobart TAS 7000&#10;Post: GPO Box 197, HOBART  TAS  7001&#10;www.equalopportunity.tas.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45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3543"/>
    <w:multiLevelType w:val="hybridMultilevel"/>
    <w:tmpl w:val="257A0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BA7BD2"/>
    <w:multiLevelType w:val="hybridMultilevel"/>
    <w:tmpl w:val="1B10B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3C15BF"/>
    <w:multiLevelType w:val="hybridMultilevel"/>
    <w:tmpl w:val="D5221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5668C3"/>
    <w:multiLevelType w:val="hybridMultilevel"/>
    <w:tmpl w:val="841CB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997E54"/>
    <w:multiLevelType w:val="hybridMultilevel"/>
    <w:tmpl w:val="75FA8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091CEE"/>
    <w:multiLevelType w:val="hybridMultilevel"/>
    <w:tmpl w:val="25E2D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07"/>
    <w:rsid w:val="00024506"/>
    <w:rsid w:val="000325C7"/>
    <w:rsid w:val="00084C68"/>
    <w:rsid w:val="000E3A7F"/>
    <w:rsid w:val="000F3EE3"/>
    <w:rsid w:val="001409B4"/>
    <w:rsid w:val="00247A8F"/>
    <w:rsid w:val="00337B16"/>
    <w:rsid w:val="00385ECF"/>
    <w:rsid w:val="003C6607"/>
    <w:rsid w:val="003C7636"/>
    <w:rsid w:val="003F46E6"/>
    <w:rsid w:val="004D456A"/>
    <w:rsid w:val="00714E2F"/>
    <w:rsid w:val="00733664"/>
    <w:rsid w:val="00774402"/>
    <w:rsid w:val="007D6228"/>
    <w:rsid w:val="008279AD"/>
    <w:rsid w:val="00895AD1"/>
    <w:rsid w:val="00944176"/>
    <w:rsid w:val="0098182C"/>
    <w:rsid w:val="009B258F"/>
    <w:rsid w:val="00A96F12"/>
    <w:rsid w:val="00AA5478"/>
    <w:rsid w:val="00B02C8D"/>
    <w:rsid w:val="00C05ED3"/>
    <w:rsid w:val="00C5476C"/>
    <w:rsid w:val="00C61719"/>
    <w:rsid w:val="00C708D9"/>
    <w:rsid w:val="00C9746F"/>
    <w:rsid w:val="00CD4796"/>
    <w:rsid w:val="00D23D0E"/>
    <w:rsid w:val="00D31D10"/>
    <w:rsid w:val="00D82CA2"/>
    <w:rsid w:val="00E043CE"/>
    <w:rsid w:val="00E26F92"/>
    <w:rsid w:val="00F30F94"/>
    <w:rsid w:val="00F95B1C"/>
    <w:rsid w:val="00FF63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82C4"/>
  <w15:chartTrackingRefBased/>
  <w15:docId w15:val="{AF90BF26-A05A-47DE-860C-3FB13195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607"/>
    <w:pPr>
      <w:suppressAutoHyphens/>
      <w:overflowPunct w:val="0"/>
      <w:autoSpaceDE w:val="0"/>
      <w:autoSpaceDN w:val="0"/>
      <w:adjustRightInd w:val="0"/>
      <w:spacing w:after="240"/>
      <w:textAlignment w:val="baseline"/>
    </w:pPr>
    <w:rPr>
      <w:rFonts w:ascii="Arial" w:eastAsia="Calibri" w:hAnsi="Arial" w:cs="Times New Roman"/>
      <w:sz w:val="24"/>
      <w:szCs w:val="20"/>
      <w:lang w:eastAsia="en-US"/>
    </w:rPr>
  </w:style>
  <w:style w:type="paragraph" w:styleId="Heading1">
    <w:name w:val="heading 1"/>
    <w:basedOn w:val="Normal"/>
    <w:next w:val="Normal"/>
    <w:link w:val="Heading1Char"/>
    <w:uiPriority w:val="9"/>
    <w:qFormat/>
    <w:rsid w:val="003C6607"/>
    <w:pPr>
      <w:keepNext/>
      <w:keepLines/>
      <w:spacing w:before="240"/>
      <w:outlineLvl w:val="0"/>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607"/>
    <w:rPr>
      <w:rFonts w:ascii="Arial" w:eastAsia="Calibri" w:hAnsi="Arial" w:cs="Arial"/>
      <w:b/>
      <w:bCs/>
      <w:sz w:val="24"/>
      <w:szCs w:val="24"/>
      <w:lang w:eastAsia="en-US"/>
    </w:rPr>
  </w:style>
  <w:style w:type="paragraph" w:styleId="Header">
    <w:name w:val="header"/>
    <w:basedOn w:val="Normal"/>
    <w:link w:val="HeaderChar"/>
    <w:unhideWhenUsed/>
    <w:rsid w:val="003C6607"/>
    <w:pPr>
      <w:tabs>
        <w:tab w:val="center" w:pos="4513"/>
        <w:tab w:val="right" w:pos="9026"/>
      </w:tabs>
    </w:pPr>
  </w:style>
  <w:style w:type="character" w:customStyle="1" w:styleId="HeaderChar">
    <w:name w:val="Header Char"/>
    <w:basedOn w:val="DefaultParagraphFont"/>
    <w:link w:val="Header"/>
    <w:rsid w:val="003C6607"/>
    <w:rPr>
      <w:rFonts w:ascii="Arial" w:eastAsia="Calibri" w:hAnsi="Arial" w:cs="Times New Roman"/>
      <w:sz w:val="24"/>
      <w:szCs w:val="20"/>
      <w:lang w:eastAsia="en-US"/>
    </w:rPr>
  </w:style>
  <w:style w:type="paragraph" w:styleId="Footer">
    <w:name w:val="footer"/>
    <w:basedOn w:val="Normal"/>
    <w:link w:val="FooterChar"/>
    <w:uiPriority w:val="99"/>
    <w:unhideWhenUsed/>
    <w:rsid w:val="003C6607"/>
    <w:pPr>
      <w:tabs>
        <w:tab w:val="center" w:pos="4513"/>
        <w:tab w:val="right" w:pos="9026"/>
      </w:tabs>
    </w:pPr>
  </w:style>
  <w:style w:type="character" w:customStyle="1" w:styleId="FooterChar">
    <w:name w:val="Footer Char"/>
    <w:basedOn w:val="DefaultParagraphFont"/>
    <w:link w:val="Footer"/>
    <w:uiPriority w:val="99"/>
    <w:rsid w:val="003C6607"/>
    <w:rPr>
      <w:rFonts w:ascii="Arial" w:eastAsia="Calibri" w:hAnsi="Arial" w:cs="Times New Roman"/>
      <w:sz w:val="24"/>
      <w:szCs w:val="20"/>
      <w:lang w:eastAsia="en-US"/>
    </w:rPr>
  </w:style>
  <w:style w:type="character" w:styleId="PageNumber">
    <w:name w:val="page number"/>
    <w:basedOn w:val="DefaultParagraphFont"/>
    <w:qFormat/>
    <w:rsid w:val="003C6607"/>
    <w:rPr>
      <w:sz w:val="22"/>
    </w:rPr>
  </w:style>
  <w:style w:type="paragraph" w:customStyle="1" w:styleId="Dateline">
    <w:name w:val="Date line"/>
    <w:basedOn w:val="Normal"/>
    <w:qFormat/>
    <w:rsid w:val="003C6607"/>
    <w:pPr>
      <w:spacing w:before="240"/>
      <w:ind w:left="851"/>
    </w:pPr>
    <w:rPr>
      <w:rFonts w:cs="Arial"/>
    </w:rPr>
  </w:style>
  <w:style w:type="paragraph" w:customStyle="1" w:styleId="Privateandconfidential">
    <w:name w:val="Private and confidential"/>
    <w:basedOn w:val="Normal"/>
    <w:qFormat/>
    <w:rsid w:val="003C6607"/>
    <w:pPr>
      <w:tabs>
        <w:tab w:val="right" w:pos="10149"/>
      </w:tabs>
      <w:spacing w:after="0" w:line="240" w:lineRule="auto"/>
      <w:ind w:right="-992"/>
    </w:pPr>
    <w:rPr>
      <w:b/>
      <w:bCs/>
    </w:rPr>
  </w:style>
  <w:style w:type="paragraph" w:customStyle="1" w:styleId="Yourssincerely">
    <w:name w:val="Yours sincerely"/>
    <w:basedOn w:val="Normal"/>
    <w:qFormat/>
    <w:rsid w:val="003C6607"/>
    <w:pPr>
      <w:keepNext/>
      <w:keepLines/>
      <w:spacing w:before="480" w:after="960"/>
    </w:pPr>
  </w:style>
  <w:style w:type="paragraph" w:customStyle="1" w:styleId="EnclCC">
    <w:name w:val="Encl &amp; CC"/>
    <w:basedOn w:val="Normal"/>
    <w:qFormat/>
    <w:rsid w:val="003C6607"/>
    <w:pPr>
      <w:keepLines/>
      <w:spacing w:after="0" w:line="240" w:lineRule="auto"/>
      <w:ind w:left="851" w:hanging="851"/>
    </w:pPr>
    <w:rPr>
      <w:iCs/>
      <w:sz w:val="22"/>
      <w:szCs w:val="22"/>
    </w:rPr>
  </w:style>
  <w:style w:type="character" w:styleId="Hyperlink">
    <w:name w:val="Hyperlink"/>
    <w:basedOn w:val="DefaultParagraphFont"/>
    <w:uiPriority w:val="99"/>
    <w:unhideWhenUsed/>
    <w:rsid w:val="003C6607"/>
    <w:rPr>
      <w:color w:val="0000FF" w:themeColor="hyperlink"/>
      <w:u w:val="single"/>
    </w:rPr>
  </w:style>
  <w:style w:type="paragraph" w:customStyle="1" w:styleId="Name">
    <w:name w:val="Name"/>
    <w:basedOn w:val="Normal"/>
    <w:link w:val="NameChar"/>
    <w:qFormat/>
    <w:rsid w:val="003C6607"/>
    <w:pPr>
      <w:keepNext/>
      <w:spacing w:after="0" w:line="240" w:lineRule="auto"/>
    </w:pPr>
    <w:rPr>
      <w:b/>
    </w:rPr>
  </w:style>
  <w:style w:type="character" w:customStyle="1" w:styleId="NameChar">
    <w:name w:val="Name Char"/>
    <w:basedOn w:val="DefaultParagraphFont"/>
    <w:link w:val="Name"/>
    <w:rsid w:val="003C6607"/>
    <w:rPr>
      <w:rFonts w:ascii="Arial" w:eastAsia="Calibri" w:hAnsi="Arial" w:cs="Times New Roman"/>
      <w:b/>
      <w:sz w:val="24"/>
      <w:szCs w:val="20"/>
      <w:lang w:eastAsia="en-US"/>
    </w:rPr>
  </w:style>
  <w:style w:type="paragraph" w:customStyle="1" w:styleId="Jobtitle">
    <w:name w:val="Job title"/>
    <w:basedOn w:val="Normal"/>
    <w:link w:val="JobtitleChar"/>
    <w:qFormat/>
    <w:rsid w:val="003C6607"/>
    <w:pPr>
      <w:keepNext/>
    </w:pPr>
    <w:rPr>
      <w:smallCaps/>
    </w:rPr>
  </w:style>
  <w:style w:type="character" w:customStyle="1" w:styleId="JobtitleChar">
    <w:name w:val="Job title Char"/>
    <w:basedOn w:val="DefaultParagraphFont"/>
    <w:link w:val="Jobtitle"/>
    <w:rsid w:val="003C6607"/>
    <w:rPr>
      <w:rFonts w:ascii="Arial" w:eastAsia="Calibri" w:hAnsi="Arial" w:cs="Times New Roman"/>
      <w:smallCaps/>
      <w:sz w:val="24"/>
      <w:szCs w:val="20"/>
      <w:lang w:eastAsia="en-US"/>
    </w:rPr>
  </w:style>
  <w:style w:type="paragraph" w:customStyle="1" w:styleId="Default">
    <w:name w:val="Default"/>
    <w:rsid w:val="003C6607"/>
    <w:pPr>
      <w:autoSpaceDE w:val="0"/>
      <w:autoSpaceDN w:val="0"/>
      <w:adjustRightInd w:val="0"/>
      <w:spacing w:after="0" w:line="240" w:lineRule="auto"/>
    </w:pPr>
    <w:rPr>
      <w:rFonts w:ascii="Gill Sans MT" w:eastAsia="Calibri" w:hAnsi="Gill Sans MT" w:cs="Gill Sans MT"/>
      <w:color w:val="000000"/>
      <w:sz w:val="24"/>
      <w:szCs w:val="24"/>
    </w:rPr>
  </w:style>
  <w:style w:type="paragraph" w:styleId="ListParagraph">
    <w:name w:val="List Paragraph"/>
    <w:basedOn w:val="Normal"/>
    <w:uiPriority w:val="34"/>
    <w:qFormat/>
    <w:rsid w:val="003C6607"/>
    <w:pPr>
      <w:ind w:left="720"/>
      <w:contextualSpacing/>
    </w:p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unhideWhenUsed/>
    <w:qFormat/>
    <w:rsid w:val="003C6607"/>
    <w:pPr>
      <w:spacing w:after="0" w:line="240" w:lineRule="auto"/>
    </w:pPr>
    <w:rPr>
      <w:sz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basedOn w:val="DefaultParagraphFont"/>
    <w:link w:val="FootnoteText"/>
    <w:rsid w:val="003C6607"/>
    <w:rPr>
      <w:rFonts w:ascii="Arial" w:eastAsia="Calibri" w:hAnsi="Arial" w:cs="Times New Roman"/>
      <w:sz w:val="20"/>
      <w:szCs w:val="20"/>
      <w:lang w:eastAsia="en-US"/>
    </w:rPr>
  </w:style>
  <w:style w:type="character" w:styleId="FootnoteReference">
    <w:name w:val="footnote reference"/>
    <w:aliases w:val="4_G,Footnotes refss"/>
    <w:basedOn w:val="DefaultParagraphFont"/>
    <w:unhideWhenUsed/>
    <w:rsid w:val="003C6607"/>
    <w:rPr>
      <w:vertAlign w:val="superscript"/>
    </w:rPr>
  </w:style>
  <w:style w:type="paragraph" w:customStyle="1" w:styleId="headingparagraph">
    <w:name w:val="headingparagraph"/>
    <w:basedOn w:val="Normal"/>
    <w:rsid w:val="003C6607"/>
    <w:pPr>
      <w:suppressAutoHyphens w:val="0"/>
      <w:overflowPunct/>
      <w:autoSpaceDE/>
      <w:autoSpaceDN/>
      <w:adjustRightInd/>
      <w:spacing w:before="100" w:beforeAutospacing="1" w:after="100" w:afterAutospacing="1" w:line="240" w:lineRule="auto"/>
      <w:textAlignment w:val="auto"/>
    </w:pPr>
    <w:rPr>
      <w:rFonts w:ascii="Times New Roman" w:eastAsia="Times New Roman" w:hAnsi="Times New Roman"/>
      <w:szCs w:val="24"/>
      <w:lang w:eastAsia="en-AU"/>
    </w:rPr>
  </w:style>
  <w:style w:type="character" w:styleId="FollowedHyperlink">
    <w:name w:val="FollowedHyperlink"/>
    <w:basedOn w:val="DefaultParagraphFont"/>
    <w:uiPriority w:val="99"/>
    <w:semiHidden/>
    <w:unhideWhenUsed/>
    <w:rsid w:val="00C05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consultation@treasury.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OT.Commissioner@equalopportunity.tas.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wgea.gov.au/publications/gender-workplace-statistics-at-a-glance-2020" TargetMode="External"/><Relationship Id="rId7" Type="http://schemas.openxmlformats.org/officeDocument/2006/relationships/hyperlink" Target="https://humanrights.gov.au/our-work/education/face-facts-gender-equality-2018" TargetMode="External"/><Relationship Id="rId2" Type="http://schemas.openxmlformats.org/officeDocument/2006/relationships/hyperlink" Target="https://www.wgea.gov.au/newsroom/gender-equality-in-australia-a-guide-to-gender-equality-in-2020" TargetMode="External"/><Relationship Id="rId1" Type="http://schemas.openxmlformats.org/officeDocument/2006/relationships/hyperlink" Target="https://www.women.tas.gov.au/information_and_resources/gender_analysis" TargetMode="External"/><Relationship Id="rId6" Type="http://schemas.openxmlformats.org/officeDocument/2006/relationships/hyperlink" Target="https://www.women.tas.gov.au/__data/assets/pdf_file/0032/148919/Leadership-and-Participation-Women-Action-Plan_wcag.pdf" TargetMode="External"/><Relationship Id="rId5" Type="http://schemas.openxmlformats.org/officeDocument/2006/relationships/hyperlink" Target="https://theconversation.com/each-budget-used-to-have-a-gender-impact-statement-we-need-it-back-especially-now-144849" TargetMode="External"/><Relationship Id="rId4" Type="http://schemas.openxmlformats.org/officeDocument/2006/relationships/hyperlink" Target="https://www.police.tas.gov.au/uploads/Crime-Statistics-Supplement-2019-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71D24-10FA-4245-BB7B-14326469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Egdom, Melanie</dc:creator>
  <cp:keywords/>
  <dc:description/>
  <cp:lastModifiedBy>Warburton, Katrina</cp:lastModifiedBy>
  <cp:revision>3</cp:revision>
  <dcterms:created xsi:type="dcterms:W3CDTF">2021-04-29T01:31:00Z</dcterms:created>
  <dcterms:modified xsi:type="dcterms:W3CDTF">2021-04-29T01:31:00Z</dcterms:modified>
</cp:coreProperties>
</file>