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D0" w:rsidRDefault="00B17A47" w:rsidP="00567749">
      <w:pPr>
        <w:pStyle w:val="Header"/>
      </w:pPr>
      <w:bookmarkStart w:id="0" w:name="_GoBack"/>
      <w:bookmarkEnd w:id="0"/>
      <w:r>
        <w:rPr>
          <w:noProof/>
          <w:lang w:eastAsia="en-AU"/>
        </w:rPr>
        <mc:AlternateContent>
          <mc:Choice Requires="wps">
            <w:drawing>
              <wp:anchor distT="0" distB="0" distL="114300" distR="114300" simplePos="0" relativeHeight="251657728" behindDoc="1" locked="0" layoutInCell="1" allowOverlap="1">
                <wp:simplePos x="0" y="0"/>
                <wp:positionH relativeFrom="column">
                  <wp:posOffset>122555</wp:posOffset>
                </wp:positionH>
                <wp:positionV relativeFrom="paragraph">
                  <wp:posOffset>-370205</wp:posOffset>
                </wp:positionV>
                <wp:extent cx="5960745" cy="1143000"/>
                <wp:effectExtent l="46355" t="39370" r="41275" b="46355"/>
                <wp:wrapNone/>
                <wp:docPr id="1"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60745" cy="1143000"/>
                        </a:xfrm>
                        <a:custGeom>
                          <a:avLst/>
                          <a:gdLst>
                            <a:gd name="T0" fmla="*/ 0 w 21642"/>
                            <a:gd name="T1" fmla="*/ 0 h 31982"/>
                            <a:gd name="T2" fmla="*/ 1440028627 w 21642"/>
                            <a:gd name="T3" fmla="*/ 40849509 h 31982"/>
                            <a:gd name="T4" fmla="*/ 3186115 w 21642"/>
                            <a:gd name="T5" fmla="*/ 27588929 h 31982"/>
                            <a:gd name="T6" fmla="*/ 0 60000 65536"/>
                            <a:gd name="T7" fmla="*/ 0 60000 65536"/>
                            <a:gd name="T8" fmla="*/ 0 60000 65536"/>
                            <a:gd name="T9" fmla="*/ 3163 w 21642"/>
                            <a:gd name="T10" fmla="*/ 3163 h 31982"/>
                            <a:gd name="T11" fmla="*/ 18437 w 21642"/>
                            <a:gd name="T12" fmla="*/ 18437 h 31982"/>
                          </a:gdLst>
                          <a:ahLst/>
                          <a:cxnLst>
                            <a:cxn ang="T6">
                              <a:pos x="T0" y="T1"/>
                            </a:cxn>
                            <a:cxn ang="T7">
                              <a:pos x="T2" y="T3"/>
                            </a:cxn>
                            <a:cxn ang="T8">
                              <a:pos x="T4" y="T5"/>
                            </a:cxn>
                          </a:cxnLst>
                          <a:rect l="T9" t="T10" r="T11" b="T12"/>
                          <a:pathLst>
                            <a:path w="21642" h="31982" fill="none" extrusionOk="0">
                              <a:moveTo>
                                <a:pt x="0" y="0"/>
                              </a:moveTo>
                              <a:cubicBezTo>
                                <a:pt x="14" y="0"/>
                                <a:pt x="28" y="-1"/>
                                <a:pt x="42" y="0"/>
                              </a:cubicBezTo>
                              <a:cubicBezTo>
                                <a:pt x="11971" y="0"/>
                                <a:pt x="21642" y="9670"/>
                                <a:pt x="21642" y="21600"/>
                              </a:cubicBezTo>
                              <a:cubicBezTo>
                                <a:pt x="21642" y="25229"/>
                                <a:pt x="20727" y="28799"/>
                                <a:pt x="18983" y="31982"/>
                              </a:cubicBezTo>
                            </a:path>
                            <a:path w="21642" h="31982" stroke="0" extrusionOk="0">
                              <a:moveTo>
                                <a:pt x="0" y="0"/>
                              </a:moveTo>
                              <a:cubicBezTo>
                                <a:pt x="14" y="0"/>
                                <a:pt x="28" y="-1"/>
                                <a:pt x="42" y="0"/>
                              </a:cubicBezTo>
                              <a:cubicBezTo>
                                <a:pt x="11971" y="0"/>
                                <a:pt x="21642" y="9670"/>
                                <a:pt x="21642" y="21600"/>
                              </a:cubicBezTo>
                              <a:cubicBezTo>
                                <a:pt x="21642" y="25229"/>
                                <a:pt x="20727" y="28799"/>
                                <a:pt x="18983" y="31982"/>
                              </a:cubicBezTo>
                              <a:lnTo>
                                <a:pt x="42" y="21600"/>
                              </a:lnTo>
                              <a:lnTo>
                                <a:pt x="0" y="0"/>
                              </a:lnTo>
                              <a:close/>
                            </a:path>
                          </a:pathLst>
                        </a:custGeom>
                        <a:noFill/>
                        <a:ln w="76200">
                          <a:solidFill>
                            <a:srgbClr val="FFFF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 o:spid="_x0000_s1026" style="position:absolute;margin-left:9.65pt;margin-top:-29.15pt;width:469.35pt;height:90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42,3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" path="m,nfc14,,28,-1,42,,11971,,21642,9670,21642,21600v,3629,-915,7199,-2659,10382em,nsc14,,28,-1,42,,11971,,21642,9670,21642,21600v,3629,-915,7199,-2659,10382l42,21600,,xe" filled="f" strokecolor="#ff9" strokeweight="6pt">
                <v:path arrowok="t" o:extrusionok="f" o:connecttype="custom" o:connectlocs="0,0;2147483647,1459914602;877535304,985996681" o:connectangles="0,0,0" textboxrect="3163,3163,18437,18437"/>
              </v:shape>
            </w:pict>
          </mc:Fallback>
        </mc:AlternateContent>
      </w:r>
      <w:r w:rsidR="00C31DD0">
        <w:rPr>
          <w:rFonts w:ascii="Trebuchet MS" w:hAnsi="Trebuchet MS"/>
          <w:color w:val="339966"/>
          <w:sz w:val="40"/>
        </w:rPr>
        <w:t>Australian Council of Human Rights Authorities</w:t>
      </w:r>
    </w:p>
    <w:p w:rsidR="00C31DD0" w:rsidRDefault="00C31DD0" w:rsidP="008903C5">
      <w:pPr>
        <w:tabs>
          <w:tab w:val="left" w:pos="993"/>
        </w:tabs>
        <w:suppressAutoHyphens/>
        <w:jc w:val="center"/>
        <w:rPr>
          <w:rFonts w:cs="Arial"/>
          <w:b/>
          <w:spacing w:val="-2"/>
          <w:sz w:val="28"/>
          <w:szCs w:val="28"/>
        </w:rPr>
      </w:pPr>
    </w:p>
    <w:p w:rsidR="00C31DD0" w:rsidRPr="00867A50" w:rsidRDefault="00C31DD0" w:rsidP="008903C5">
      <w:pPr>
        <w:tabs>
          <w:tab w:val="left" w:pos="993"/>
        </w:tabs>
        <w:suppressAutoHyphens/>
        <w:jc w:val="center"/>
        <w:rPr>
          <w:rFonts w:ascii="Trebuchet MS" w:hAnsi="Trebuchet MS" w:cs="Arial"/>
          <w:b/>
          <w:spacing w:val="-2"/>
          <w:sz w:val="32"/>
          <w:szCs w:val="32"/>
        </w:rPr>
      </w:pPr>
      <w:r>
        <w:rPr>
          <w:rFonts w:ascii="Trebuchet MS" w:hAnsi="Trebuchet MS" w:cs="Arial"/>
          <w:b/>
          <w:spacing w:val="-2"/>
          <w:sz w:val="32"/>
          <w:szCs w:val="32"/>
        </w:rPr>
        <w:t>Communiqué</w:t>
      </w:r>
    </w:p>
    <w:p w:rsidR="00C31DD0" w:rsidRPr="00867A50" w:rsidRDefault="00C31DD0" w:rsidP="008903C5">
      <w:pPr>
        <w:tabs>
          <w:tab w:val="left" w:pos="993"/>
        </w:tabs>
        <w:suppressAutoHyphens/>
        <w:jc w:val="center"/>
        <w:rPr>
          <w:rFonts w:ascii="Trebuchet MS" w:hAnsi="Trebuchet MS" w:cs="Arial"/>
          <w:b/>
          <w:spacing w:val="-2"/>
          <w:sz w:val="32"/>
          <w:szCs w:val="32"/>
        </w:rPr>
      </w:pPr>
      <w:r w:rsidRPr="00867A50">
        <w:rPr>
          <w:rFonts w:ascii="Trebuchet MS" w:hAnsi="Trebuchet MS" w:cs="Arial"/>
          <w:b/>
          <w:spacing w:val="-2"/>
          <w:sz w:val="32"/>
          <w:szCs w:val="32"/>
        </w:rPr>
        <w:t>18 February 2015</w:t>
      </w:r>
    </w:p>
    <w:p w:rsidR="00C31DD0" w:rsidRDefault="00C31DD0" w:rsidP="00672B35">
      <w:pPr>
        <w:rPr>
          <w:rFonts w:cs="Arial"/>
          <w:b/>
          <w:spacing w:val="-2"/>
          <w:sz w:val="28"/>
          <w:szCs w:val="28"/>
        </w:rPr>
      </w:pPr>
    </w:p>
    <w:p w:rsidR="00C31DD0" w:rsidRDefault="00C31DD0" w:rsidP="00867A50">
      <w:r>
        <w:t>The Australian Council of Human Rights Authorities (ACHRA), which comprises the State, Territory and Federal human rights and discrimination authorities, have met in Sydney to consider a number of issues of common concern and interest.</w:t>
      </w:r>
    </w:p>
    <w:p w:rsidR="00C31DD0" w:rsidRDefault="00C31DD0" w:rsidP="00867A50"/>
    <w:p w:rsidR="00C31DD0" w:rsidRDefault="00C31DD0" w:rsidP="00867A50">
      <w:r>
        <w:t xml:space="preserve">A primary focus of the meeting is the continuing, systemic and serious barriers to equality of opportunity for people with disability across </w:t>
      </w:r>
      <w:smartTag w:uri="urn:schemas-microsoft-com:office:smarttags" w:element="country-region">
        <w:smartTag w:uri="urn:schemas-microsoft-com:office:smarttags" w:element="place">
          <w:r>
            <w:t>Australia</w:t>
          </w:r>
        </w:smartTag>
      </w:smartTag>
      <w:r>
        <w:t>.  The Authorities identified the following issues, which require urgent and sustained attention:</w:t>
      </w:r>
    </w:p>
    <w:p w:rsidR="00C31DD0" w:rsidRDefault="00C31DD0" w:rsidP="00867A50"/>
    <w:p w:rsidR="00C31DD0" w:rsidRDefault="00C31DD0" w:rsidP="00867A50">
      <w:pPr>
        <w:numPr>
          <w:ilvl w:val="0"/>
          <w:numId w:val="5"/>
        </w:numPr>
      </w:pPr>
      <w:r>
        <w:t>barriers to employment and work opportunities, including a failure to implement  adjustments;</w:t>
      </w:r>
    </w:p>
    <w:p w:rsidR="00C31DD0" w:rsidRDefault="00C31DD0" w:rsidP="00867A50">
      <w:pPr>
        <w:numPr>
          <w:ilvl w:val="0"/>
          <w:numId w:val="5"/>
        </w:numPr>
      </w:pPr>
      <w:r>
        <w:t>barriers to the built environment and, as a result, limits on community participation;</w:t>
      </w:r>
    </w:p>
    <w:p w:rsidR="00C31DD0" w:rsidRDefault="00C31DD0" w:rsidP="00867A50">
      <w:pPr>
        <w:numPr>
          <w:ilvl w:val="0"/>
          <w:numId w:val="5"/>
        </w:numPr>
      </w:pPr>
      <w:r>
        <w:t>barriers to justice and equal protection before the law;</w:t>
      </w:r>
    </w:p>
    <w:p w:rsidR="00C31DD0" w:rsidRDefault="00C31DD0" w:rsidP="00867A50">
      <w:pPr>
        <w:numPr>
          <w:ilvl w:val="0"/>
          <w:numId w:val="5"/>
        </w:numPr>
      </w:pPr>
      <w:r>
        <w:t>negative attitudes towards people with disability that impact in all areas of life; and</w:t>
      </w:r>
    </w:p>
    <w:p w:rsidR="00C31DD0" w:rsidRDefault="00C31DD0" w:rsidP="00867A50">
      <w:pPr>
        <w:numPr>
          <w:ilvl w:val="0"/>
          <w:numId w:val="5"/>
        </w:numPr>
      </w:pPr>
      <w:r>
        <w:t>barriers to education, particularly at the compulsory school level.</w:t>
      </w:r>
    </w:p>
    <w:p w:rsidR="00C31DD0" w:rsidRDefault="00C31DD0" w:rsidP="00867A50"/>
    <w:p w:rsidR="00C31DD0" w:rsidRDefault="00C31DD0" w:rsidP="00867A50"/>
    <w:p w:rsidR="00C31DD0" w:rsidRDefault="00C31DD0" w:rsidP="00867A50">
      <w:r>
        <w:t>The Authorities noted the following matters of particular concern:</w:t>
      </w:r>
    </w:p>
    <w:p w:rsidR="00C31DD0" w:rsidRPr="00CD7438" w:rsidRDefault="00C31DD0" w:rsidP="00CD7438">
      <w:pPr>
        <w:pStyle w:val="Heading1"/>
      </w:pPr>
      <w:r w:rsidRPr="00CD7438">
        <w:t>Employment and work opportunities</w:t>
      </w:r>
    </w:p>
    <w:p w:rsidR="00C31DD0" w:rsidRDefault="00C31DD0" w:rsidP="00867A50">
      <w:r>
        <w:t xml:space="preserve">People with disability in </w:t>
      </w:r>
      <w:smartTag w:uri="urn:schemas-microsoft-com:office:smarttags" w:element="place">
        <w:smartTag w:uri="urn:schemas-microsoft-com:office:smarttags" w:element="country-region">
          <w:r>
            <w:t>Australia</w:t>
          </w:r>
        </w:smartTag>
      </w:smartTag>
      <w:r>
        <w:t xml:space="preserve"> are significantly underemployed despite their capacity and merit. They face attitudinal barriers in recruitment and selection processes.  Employers (including governments) not only fail to understand the capacity of people with disability,  they are often unaware of their own obligations under discrimination laws.  Having  more inclusive recruitment practices  and better understanding the level of support available nationally to implement workplace adjustments would mean people with disability are not excluded from the workforce.</w:t>
      </w:r>
    </w:p>
    <w:p w:rsidR="00C31DD0" w:rsidRDefault="00C31DD0" w:rsidP="00CD7438">
      <w:pPr>
        <w:pStyle w:val="Heading1"/>
      </w:pPr>
      <w:r>
        <w:t>Built environment</w:t>
      </w:r>
    </w:p>
    <w:p w:rsidR="00C31DD0" w:rsidRDefault="00C31DD0" w:rsidP="00867A50">
      <w:r>
        <w:t xml:space="preserve">Some progress has been achieved through the adoption of the </w:t>
      </w:r>
      <w:r>
        <w:rPr>
          <w:i/>
        </w:rPr>
        <w:t xml:space="preserve">Disability </w:t>
      </w:r>
      <w:r w:rsidRPr="008C73EC">
        <w:rPr>
          <w:i/>
        </w:rPr>
        <w:t>(Access to Premises-Buildings) Standards 2010</w:t>
      </w:r>
      <w:r>
        <w:rPr>
          <w:i/>
        </w:rPr>
        <w:t xml:space="preserve"> </w:t>
      </w:r>
      <w:r>
        <w:t xml:space="preserve">(Cth). The 2015 review of those standards and their implementation is an important opportunity to consider what further work needs to be undertaken to ensure that the standards are being implemented effectively and achieving their capacity to make real and enduring positive changes for people with disability.  </w:t>
      </w:r>
    </w:p>
    <w:p w:rsidR="00C31DD0" w:rsidRDefault="00C31DD0" w:rsidP="00867A50"/>
    <w:p w:rsidR="00C31DD0" w:rsidRPr="008C73EC" w:rsidRDefault="00C31DD0" w:rsidP="00867A50">
      <w:r>
        <w:t xml:space="preserve">The Authorities noted the vital need to extend the work on accessible buildings to include universal design requirements for housing across </w:t>
      </w:r>
      <w:smartTag w:uri="urn:schemas-microsoft-com:office:smarttags" w:element="place">
        <w:r>
          <w:t>Australia</w:t>
        </w:r>
      </w:smartTag>
      <w:r>
        <w:t xml:space="preserve">.  The Authorities seek to ensure that the review is inclusive of people with disability and looks at the issues of access to the built environment beyond the technical coverage of the Premises Standards and considers  </w:t>
      </w:r>
      <w:r w:rsidRPr="00C31C0D">
        <w:rPr>
          <w:rFonts w:asciiTheme="minorHAnsi" w:hAnsiTheme="minorHAnsi" w:cs="Tms Rmn"/>
          <w:color w:val="000000"/>
          <w:lang w:val="en-AU" w:eastAsia="en-AU"/>
        </w:rPr>
        <w:lastRenderedPageBreak/>
        <w:t>the benefits of inclusive design for the community, including for children, older people</w:t>
      </w:r>
      <w:r w:rsidRPr="00C31C0D">
        <w:rPr>
          <w:rFonts w:asciiTheme="minorHAnsi" w:hAnsiTheme="minorHAnsi"/>
        </w:rPr>
        <w:t xml:space="preserve"> </w:t>
      </w:r>
      <w:r>
        <w:t>and parents.</w:t>
      </w:r>
    </w:p>
    <w:p w:rsidR="00C31DD0" w:rsidRDefault="00C31DD0" w:rsidP="005F1B1B">
      <w:pPr>
        <w:pStyle w:val="Heading1"/>
      </w:pPr>
      <w:r>
        <w:t>Justice and rights</w:t>
      </w:r>
    </w:p>
    <w:p w:rsidR="00C31DD0" w:rsidRDefault="00C31DD0" w:rsidP="00867A50">
      <w:r>
        <w:t xml:space="preserve">The Authorities noted the progress that has been achieved in </w:t>
      </w:r>
      <w:smartTag w:uri="urn:schemas-microsoft-com:office:smarttags" w:element="place">
        <w:r>
          <w:t>South Australia</w:t>
        </w:r>
      </w:smartTag>
      <w:r>
        <w:t xml:space="preserve"> in the development and implementation of its Disability Justice Strategy and the work of the Federal Disability Discrimination Commissioner on access to justice.  Barriers to access to justice and equality before the law are significant for all people with disability, and in particular for people with cognitive impairments.  The failure to ensure that people with disability experience equal protection and equal rights before the law and the formal support needed to achieve this reflects very poorly on Australian justice systems and requires urgent attention.</w:t>
      </w:r>
    </w:p>
    <w:p w:rsidR="00C31DD0" w:rsidRDefault="00C31DD0" w:rsidP="00867A50"/>
    <w:p w:rsidR="00C31DD0" w:rsidRDefault="00C31DD0" w:rsidP="00867A50">
      <w:r>
        <w:t>Specific justice issues discussed included access to the disability support pension for people in forensic psychiatric care.</w:t>
      </w:r>
    </w:p>
    <w:p w:rsidR="00C31DD0" w:rsidRDefault="00C31DD0" w:rsidP="005A1A82">
      <w:pPr>
        <w:pStyle w:val="Heading1"/>
      </w:pPr>
      <w:r>
        <w:t>Education</w:t>
      </w:r>
    </w:p>
    <w:p w:rsidR="00C31DD0" w:rsidRDefault="00C31DD0" w:rsidP="00867A50">
      <w:r>
        <w:t xml:space="preserve">Concerns were raised across the authorities about the experience of students with disability.  All authorities continue to receive complaints on issues that are clearly covered by the </w:t>
      </w:r>
      <w:r w:rsidRPr="005A1A82">
        <w:rPr>
          <w:i/>
        </w:rPr>
        <w:t>Disability Standards for Education 2005</w:t>
      </w:r>
      <w:r>
        <w:t xml:space="preserve"> (Cth). These complaints reflect a lack of attention to obligations under those standards and on ensuring that everyone involved in the provision of education understands the needs and rights of people with disability and adopts an inclusive approach to students with disability.</w:t>
      </w:r>
    </w:p>
    <w:p w:rsidR="00C31DD0" w:rsidRDefault="00C31DD0" w:rsidP="00133089">
      <w:pPr>
        <w:pStyle w:val="Heading1"/>
      </w:pPr>
      <w:r>
        <w:t>Attitudes</w:t>
      </w:r>
    </w:p>
    <w:p w:rsidR="00C31DD0" w:rsidRDefault="00C31DD0" w:rsidP="00672B35">
      <w:r>
        <w:t xml:space="preserve">The prevalence of negative stereotypes of people with disability results in prejudice and discrimination. These stereotypes therefore undermine our progress on achieving genuine and sustained equality of opportunity  for people with disability.  National leadership is required to promote  understanding that everyone must challenge these attitudes.  </w:t>
      </w:r>
    </w:p>
    <w:p w:rsidR="00C31DD0" w:rsidRDefault="00C31DD0" w:rsidP="00672B35"/>
    <w:p w:rsidR="00C31DD0" w:rsidRDefault="00C31DD0" w:rsidP="00672B35">
      <w:r>
        <w:t>Good societies are those that recognise inequalities and seek to ensure that the economic and social costs of inequality are removed.</w:t>
      </w:r>
    </w:p>
    <w:p w:rsidR="00C31DD0" w:rsidRDefault="00C31DD0" w:rsidP="00C50DE3">
      <w:pPr>
        <w:pStyle w:val="Heading1"/>
      </w:pPr>
      <w:r>
        <w:t xml:space="preserve">Other issues </w:t>
      </w:r>
    </w:p>
    <w:p w:rsidR="00C31DD0" w:rsidRDefault="00C31DD0" w:rsidP="00672B35">
      <w:r>
        <w:t>The Authorities also discussed:</w:t>
      </w:r>
    </w:p>
    <w:p w:rsidR="00C31DD0" w:rsidRDefault="00C31DD0" w:rsidP="00672B35"/>
    <w:p w:rsidR="00C31DD0" w:rsidRDefault="00C31DD0" w:rsidP="00856A49">
      <w:pPr>
        <w:numPr>
          <w:ilvl w:val="0"/>
          <w:numId w:val="6"/>
        </w:numPr>
      </w:pPr>
      <w:r>
        <w:t>respective roles in court and tribunal proceedings to assist with the development of discrimination law; and</w:t>
      </w:r>
    </w:p>
    <w:p w:rsidR="00C31DD0" w:rsidRDefault="00C31DD0" w:rsidP="00856A49">
      <w:pPr>
        <w:numPr>
          <w:ilvl w:val="0"/>
          <w:numId w:val="6"/>
        </w:numPr>
      </w:pPr>
      <w:r>
        <w:t>a co-ordinated information campaign to assist employees and employers to understand rights and obligations in relation to pregnancy and return to work after parental leave;</w:t>
      </w:r>
    </w:p>
    <w:p w:rsidR="00C31DD0" w:rsidRDefault="00C31DD0" w:rsidP="00856A49">
      <w:pPr>
        <w:numPr>
          <w:ilvl w:val="0"/>
          <w:numId w:val="6"/>
        </w:numPr>
      </w:pPr>
      <w:r>
        <w:t>impacts of institutionalisation and detention on vulnerable people, whether children or adults.</w:t>
      </w:r>
    </w:p>
    <w:p w:rsidR="00C31DD0" w:rsidRDefault="00C31DD0" w:rsidP="00672B35"/>
    <w:p w:rsidR="00C31DD0" w:rsidRPr="00133089" w:rsidRDefault="00C31DD0" w:rsidP="00672B35"/>
    <w:p w:rsidR="00C31DD0" w:rsidRDefault="00C31DD0" w:rsidP="00672B35">
      <w:pPr>
        <w:rPr>
          <w:rFonts w:cs="Arial"/>
          <w:b/>
          <w:spacing w:val="-2"/>
          <w:sz w:val="28"/>
          <w:szCs w:val="28"/>
        </w:rPr>
      </w:pPr>
      <w:r>
        <w:rPr>
          <w:rFonts w:cs="Arial"/>
          <w:b/>
          <w:spacing w:val="-2"/>
          <w:sz w:val="28"/>
          <w:szCs w:val="28"/>
        </w:rPr>
        <w:lastRenderedPageBreak/>
        <w:t>For further information, contact:</w:t>
      </w:r>
    </w:p>
    <w:p w:rsidR="00C31DD0" w:rsidRPr="00672B35" w:rsidRDefault="00C31DD0" w:rsidP="00672B35">
      <w:pPr>
        <w:rPr>
          <w:rFonts w:ascii="Arial" w:hAnsi="Arial" w:cs="Arial"/>
          <w:sz w:val="22"/>
          <w:szCs w:val="22"/>
        </w:rPr>
      </w:pPr>
    </w:p>
    <w:p w:rsidR="00C31DD0" w:rsidRPr="008B6A93" w:rsidRDefault="00C31DD0" w:rsidP="00672B35">
      <w:pPr>
        <w:rPr>
          <w:rFonts w:asciiTheme="minorHAnsi" w:hAnsiTheme="minorHAnsi" w:cs="Arial"/>
        </w:rPr>
      </w:pPr>
      <w:r w:rsidRPr="008B6A93">
        <w:rPr>
          <w:rFonts w:asciiTheme="minorHAnsi" w:hAnsiTheme="minorHAnsi" w:cs="Arial"/>
        </w:rPr>
        <w:t>South Australia: Commissioner Anne Gale, 0422 007 069</w:t>
      </w:r>
    </w:p>
    <w:p w:rsidR="00C31DD0" w:rsidRPr="008B6A93" w:rsidRDefault="00C31DD0" w:rsidP="00C156D2">
      <w:pPr>
        <w:rPr>
          <w:rFonts w:asciiTheme="minorHAnsi" w:hAnsiTheme="minorHAnsi" w:cs="Arial"/>
        </w:rPr>
      </w:pPr>
      <w:r w:rsidRPr="008B6A93">
        <w:rPr>
          <w:rFonts w:asciiTheme="minorHAnsi" w:hAnsiTheme="minorHAnsi" w:cs="Arial"/>
        </w:rPr>
        <w:t>Australian Capital Territory: Commissioner Helen Watchirs, 0423 821 718</w:t>
      </w:r>
    </w:p>
    <w:p w:rsidR="00C31DD0" w:rsidRPr="008B6A93" w:rsidRDefault="00C31DD0" w:rsidP="00C156D2">
      <w:pPr>
        <w:rPr>
          <w:rFonts w:asciiTheme="minorHAnsi" w:hAnsiTheme="minorHAnsi" w:cs="Arial"/>
        </w:rPr>
      </w:pPr>
      <w:r w:rsidRPr="008B6A93">
        <w:rPr>
          <w:rFonts w:asciiTheme="minorHAnsi" w:hAnsiTheme="minorHAnsi" w:cs="Arial"/>
        </w:rPr>
        <w:t>Northern Territory: Commissioner Sally Sievers, 08 8999 1444</w:t>
      </w:r>
    </w:p>
    <w:p w:rsidR="00C31DD0" w:rsidRPr="008B6A93" w:rsidRDefault="00C31DD0" w:rsidP="00672B35">
      <w:pPr>
        <w:rPr>
          <w:rFonts w:asciiTheme="minorHAnsi" w:hAnsiTheme="minorHAnsi" w:cs="Arial"/>
        </w:rPr>
      </w:pPr>
      <w:r w:rsidRPr="008B6A93">
        <w:rPr>
          <w:rFonts w:asciiTheme="minorHAnsi" w:hAnsiTheme="minorHAnsi" w:cs="Arial"/>
        </w:rPr>
        <w:t>Queensland: Commissioner Kevin Cocks, 0402 288 419</w:t>
      </w:r>
    </w:p>
    <w:p w:rsidR="00C31DD0" w:rsidRPr="008B6A93" w:rsidRDefault="00C31DD0" w:rsidP="00672B35">
      <w:pPr>
        <w:rPr>
          <w:rFonts w:asciiTheme="minorHAnsi" w:hAnsiTheme="minorHAnsi" w:cs="Arial"/>
        </w:rPr>
      </w:pPr>
      <w:r w:rsidRPr="008B6A93">
        <w:rPr>
          <w:rFonts w:asciiTheme="minorHAnsi" w:hAnsiTheme="minorHAnsi" w:cs="Arial"/>
        </w:rPr>
        <w:t>Tasmania: Commissioner Robin Banks, 0459 800 570</w:t>
      </w:r>
    </w:p>
    <w:p w:rsidR="00C31DD0" w:rsidRPr="008B6A93" w:rsidRDefault="00C31DD0" w:rsidP="00672B35">
      <w:pPr>
        <w:rPr>
          <w:rFonts w:asciiTheme="minorHAnsi" w:hAnsiTheme="minorHAnsi" w:cs="Arial"/>
        </w:rPr>
      </w:pPr>
      <w:r w:rsidRPr="008B6A93">
        <w:rPr>
          <w:rFonts w:asciiTheme="minorHAnsi" w:hAnsiTheme="minorHAnsi" w:cs="Arial"/>
        </w:rPr>
        <w:t>Victoria: Commissioner Kate Jenkins, 0459 114 657</w:t>
      </w:r>
    </w:p>
    <w:p w:rsidR="00C31DD0" w:rsidRPr="008B6A93" w:rsidRDefault="00C31DD0" w:rsidP="00672B35">
      <w:pPr>
        <w:rPr>
          <w:rFonts w:asciiTheme="minorHAnsi" w:hAnsiTheme="minorHAnsi" w:cs="Arial"/>
        </w:rPr>
      </w:pPr>
      <w:r w:rsidRPr="008B6A93">
        <w:rPr>
          <w:rFonts w:asciiTheme="minorHAnsi" w:hAnsiTheme="minorHAnsi" w:cs="Arial"/>
        </w:rPr>
        <w:t xml:space="preserve">Federal: </w:t>
      </w:r>
      <w:r w:rsidR="008B6A93" w:rsidRPr="008B6A93">
        <w:rPr>
          <w:rFonts w:asciiTheme="minorHAnsi" w:hAnsiTheme="minorHAnsi" w:cs="Arial"/>
        </w:rPr>
        <w:t>Sarah Bamford, 0417 957 525</w:t>
      </w:r>
    </w:p>
    <w:p w:rsidR="00C31DD0" w:rsidRPr="008B6A93" w:rsidRDefault="00C31DD0" w:rsidP="00672B35">
      <w:pPr>
        <w:rPr>
          <w:rFonts w:asciiTheme="minorHAnsi" w:hAnsiTheme="minorHAnsi" w:cs="Arial"/>
        </w:rPr>
      </w:pPr>
      <w:r w:rsidRPr="008B6A93">
        <w:rPr>
          <w:rFonts w:asciiTheme="minorHAnsi" w:hAnsiTheme="minorHAnsi" w:cs="Arial"/>
        </w:rPr>
        <w:t>Western Australia: Commissioner Allanah Lucas, 08 9216 3954</w:t>
      </w:r>
    </w:p>
    <w:p w:rsidR="00C31DD0" w:rsidRPr="00B83E3B" w:rsidRDefault="00C31DD0" w:rsidP="00672B35">
      <w:pPr>
        <w:rPr>
          <w:rFonts w:ascii="Arial" w:hAnsi="Arial" w:cs="Arial"/>
          <w:sz w:val="22"/>
          <w:szCs w:val="22"/>
        </w:rPr>
      </w:pPr>
    </w:p>
    <w:p w:rsidR="00C31DD0" w:rsidRPr="00672B35" w:rsidRDefault="00C31DD0" w:rsidP="00672B35">
      <w:pPr>
        <w:rPr>
          <w:rFonts w:ascii="Arial" w:hAnsi="Arial" w:cs="Arial"/>
          <w:sz w:val="22"/>
          <w:szCs w:val="22"/>
        </w:rPr>
      </w:pPr>
    </w:p>
    <w:p w:rsidR="00C31DD0" w:rsidRDefault="00C31DD0" w:rsidP="00672B35">
      <w:pPr>
        <w:tabs>
          <w:tab w:val="left" w:pos="993"/>
        </w:tabs>
        <w:suppressAutoHyphens/>
        <w:jc w:val="center"/>
      </w:pPr>
    </w:p>
    <w:sectPr w:rsidR="00C31DD0" w:rsidSect="00672B35">
      <w:pgSz w:w="12240" w:h="15840"/>
      <w:pgMar w:top="1440" w:right="1325" w:bottom="993"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3271"/>
    <w:multiLevelType w:val="hybridMultilevel"/>
    <w:tmpl w:val="B28E7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68060E"/>
    <w:multiLevelType w:val="hybridMultilevel"/>
    <w:tmpl w:val="CE320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0F377F6"/>
    <w:multiLevelType w:val="hybridMultilevel"/>
    <w:tmpl w:val="7EBA1916"/>
    <w:lvl w:ilvl="0" w:tplc="2E6C4362">
      <w:numFmt w:val="bullet"/>
      <w:lvlText w:val="•"/>
      <w:lvlJc w:val="left"/>
      <w:pPr>
        <w:ind w:left="1080" w:hanging="72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A97571"/>
    <w:multiLevelType w:val="hybridMultilevel"/>
    <w:tmpl w:val="7DF0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472B02"/>
    <w:multiLevelType w:val="hybridMultilevel"/>
    <w:tmpl w:val="27681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C80867"/>
    <w:multiLevelType w:val="hybridMultilevel"/>
    <w:tmpl w:val="23969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C73B3A-FD44-41FF-ABBC-8F2754D2D94F}"/>
    <w:docVar w:name="dgnword-eventsink" w:val="84888008"/>
  </w:docVars>
  <w:rsids>
    <w:rsidRoot w:val="00DE32B6"/>
    <w:rsid w:val="000D6676"/>
    <w:rsid w:val="000E3128"/>
    <w:rsid w:val="000F06FF"/>
    <w:rsid w:val="0011093F"/>
    <w:rsid w:val="0012316D"/>
    <w:rsid w:val="00125C91"/>
    <w:rsid w:val="00133089"/>
    <w:rsid w:val="001458F1"/>
    <w:rsid w:val="00147D02"/>
    <w:rsid w:val="00151B21"/>
    <w:rsid w:val="00163269"/>
    <w:rsid w:val="00170A41"/>
    <w:rsid w:val="001831AC"/>
    <w:rsid w:val="001A405C"/>
    <w:rsid w:val="00221B76"/>
    <w:rsid w:val="0024024C"/>
    <w:rsid w:val="00240761"/>
    <w:rsid w:val="002408DE"/>
    <w:rsid w:val="00243BB4"/>
    <w:rsid w:val="00251CCD"/>
    <w:rsid w:val="002703D3"/>
    <w:rsid w:val="00283A7E"/>
    <w:rsid w:val="00291406"/>
    <w:rsid w:val="002B72FA"/>
    <w:rsid w:val="0031000B"/>
    <w:rsid w:val="00315FA1"/>
    <w:rsid w:val="00350F40"/>
    <w:rsid w:val="00364C91"/>
    <w:rsid w:val="0037501D"/>
    <w:rsid w:val="003974C9"/>
    <w:rsid w:val="003A3CD3"/>
    <w:rsid w:val="003B7643"/>
    <w:rsid w:val="00402D47"/>
    <w:rsid w:val="00427A53"/>
    <w:rsid w:val="00441079"/>
    <w:rsid w:val="00473090"/>
    <w:rsid w:val="00476022"/>
    <w:rsid w:val="00492F54"/>
    <w:rsid w:val="004B1E05"/>
    <w:rsid w:val="004D1584"/>
    <w:rsid w:val="004E25DB"/>
    <w:rsid w:val="004F0272"/>
    <w:rsid w:val="00545C4F"/>
    <w:rsid w:val="005518CA"/>
    <w:rsid w:val="00561779"/>
    <w:rsid w:val="00567749"/>
    <w:rsid w:val="005A136A"/>
    <w:rsid w:val="005A1A82"/>
    <w:rsid w:val="005D2ADA"/>
    <w:rsid w:val="005E1A5E"/>
    <w:rsid w:val="005E41D3"/>
    <w:rsid w:val="005F1B1B"/>
    <w:rsid w:val="00605489"/>
    <w:rsid w:val="00605E13"/>
    <w:rsid w:val="006139ED"/>
    <w:rsid w:val="00632095"/>
    <w:rsid w:val="00672B35"/>
    <w:rsid w:val="006C25F7"/>
    <w:rsid w:val="00766EBD"/>
    <w:rsid w:val="00776CEE"/>
    <w:rsid w:val="007C42A3"/>
    <w:rsid w:val="00806EB1"/>
    <w:rsid w:val="00856A49"/>
    <w:rsid w:val="00867A50"/>
    <w:rsid w:val="008845BA"/>
    <w:rsid w:val="00887023"/>
    <w:rsid w:val="008903C5"/>
    <w:rsid w:val="008A065E"/>
    <w:rsid w:val="008B6A93"/>
    <w:rsid w:val="008C262F"/>
    <w:rsid w:val="008C73EC"/>
    <w:rsid w:val="008E7996"/>
    <w:rsid w:val="008F7681"/>
    <w:rsid w:val="00911C9B"/>
    <w:rsid w:val="00961FEB"/>
    <w:rsid w:val="0096371B"/>
    <w:rsid w:val="009856A6"/>
    <w:rsid w:val="00994F9F"/>
    <w:rsid w:val="009B15EC"/>
    <w:rsid w:val="009B1EA9"/>
    <w:rsid w:val="009C6915"/>
    <w:rsid w:val="009F0526"/>
    <w:rsid w:val="009F4375"/>
    <w:rsid w:val="00A331C4"/>
    <w:rsid w:val="00A673E5"/>
    <w:rsid w:val="00A87C72"/>
    <w:rsid w:val="00AC1673"/>
    <w:rsid w:val="00B16875"/>
    <w:rsid w:val="00B17A47"/>
    <w:rsid w:val="00B344BB"/>
    <w:rsid w:val="00B465EF"/>
    <w:rsid w:val="00B54259"/>
    <w:rsid w:val="00B633B3"/>
    <w:rsid w:val="00B75FE4"/>
    <w:rsid w:val="00B83E3B"/>
    <w:rsid w:val="00B95BE8"/>
    <w:rsid w:val="00BD2B44"/>
    <w:rsid w:val="00C07C22"/>
    <w:rsid w:val="00C156D2"/>
    <w:rsid w:val="00C20864"/>
    <w:rsid w:val="00C21D1B"/>
    <w:rsid w:val="00C31C0D"/>
    <w:rsid w:val="00C31DD0"/>
    <w:rsid w:val="00C472DB"/>
    <w:rsid w:val="00C50DE3"/>
    <w:rsid w:val="00C54228"/>
    <w:rsid w:val="00C75FA6"/>
    <w:rsid w:val="00C907BE"/>
    <w:rsid w:val="00CD29E3"/>
    <w:rsid w:val="00CD7438"/>
    <w:rsid w:val="00CE0902"/>
    <w:rsid w:val="00CF2F67"/>
    <w:rsid w:val="00CF37E3"/>
    <w:rsid w:val="00D23514"/>
    <w:rsid w:val="00D31B91"/>
    <w:rsid w:val="00D4736B"/>
    <w:rsid w:val="00D57ECB"/>
    <w:rsid w:val="00DA4576"/>
    <w:rsid w:val="00DB0076"/>
    <w:rsid w:val="00DD1FB3"/>
    <w:rsid w:val="00DD4C5D"/>
    <w:rsid w:val="00DE32B6"/>
    <w:rsid w:val="00DF5A4A"/>
    <w:rsid w:val="00E03B4A"/>
    <w:rsid w:val="00E10ACB"/>
    <w:rsid w:val="00E26362"/>
    <w:rsid w:val="00E44247"/>
    <w:rsid w:val="00E508BD"/>
    <w:rsid w:val="00E81082"/>
    <w:rsid w:val="00E955D0"/>
    <w:rsid w:val="00EB30E6"/>
    <w:rsid w:val="00EB5B0C"/>
    <w:rsid w:val="00EC0DB2"/>
    <w:rsid w:val="00F00D9B"/>
    <w:rsid w:val="00F074A4"/>
    <w:rsid w:val="00F1104C"/>
    <w:rsid w:val="00F136AD"/>
    <w:rsid w:val="00F31720"/>
    <w:rsid w:val="00F37522"/>
    <w:rsid w:val="00F46F29"/>
    <w:rsid w:val="00F64AB8"/>
    <w:rsid w:val="00F67121"/>
    <w:rsid w:val="00F8678A"/>
    <w:rsid w:val="00F965C5"/>
    <w:rsid w:val="00FD66A1"/>
    <w:rsid w:val="00FE6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3F"/>
    <w:rPr>
      <w:sz w:val="24"/>
      <w:szCs w:val="24"/>
      <w:lang w:val="en-GB" w:eastAsia="en-GB"/>
    </w:rPr>
  </w:style>
  <w:style w:type="paragraph" w:styleId="Heading1">
    <w:name w:val="heading 1"/>
    <w:basedOn w:val="Normal"/>
    <w:next w:val="Normal"/>
    <w:link w:val="Heading1Char"/>
    <w:uiPriority w:val="99"/>
    <w:qFormat/>
    <w:rsid w:val="00CD7438"/>
    <w:pPr>
      <w:keepNext/>
      <w:spacing w:before="240" w:after="60"/>
      <w:outlineLvl w:val="0"/>
    </w:pPr>
    <w:rPr>
      <w:rFonts w:ascii="Trebuchet MS" w:eastAsia="Times New Roman" w:hAnsi="Trebuchet MS"/>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438"/>
    <w:rPr>
      <w:rFonts w:ascii="Trebuchet MS" w:hAnsi="Trebuchet MS" w:cs="Times New Roman"/>
      <w:b/>
      <w:bCs/>
      <w:kern w:val="32"/>
      <w:sz w:val="28"/>
      <w:szCs w:val="28"/>
      <w:lang w:val="en-GB" w:eastAsia="en-GB"/>
    </w:rPr>
  </w:style>
  <w:style w:type="table" w:styleId="TableGrid">
    <w:name w:val="Table Grid"/>
    <w:basedOn w:val="TableNormal"/>
    <w:uiPriority w:val="99"/>
    <w:rsid w:val="00CF2F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F2F67"/>
    <w:rPr>
      <w:rFonts w:cs="Times New Roman"/>
      <w:color w:val="0000FF"/>
      <w:u w:val="single"/>
    </w:rPr>
  </w:style>
  <w:style w:type="paragraph" w:customStyle="1" w:styleId="Li">
    <w:name w:val="Li"/>
    <w:basedOn w:val="Normal"/>
    <w:uiPriority w:val="99"/>
    <w:rsid w:val="0011093F"/>
  </w:style>
  <w:style w:type="paragraph" w:styleId="Header">
    <w:name w:val="header"/>
    <w:basedOn w:val="Normal"/>
    <w:link w:val="HeaderChar"/>
    <w:uiPriority w:val="99"/>
    <w:rsid w:val="00567749"/>
    <w:pPr>
      <w:tabs>
        <w:tab w:val="center" w:pos="4536"/>
        <w:tab w:val="right" w:pos="9072"/>
      </w:tabs>
      <w:overflowPunct w:val="0"/>
      <w:autoSpaceDE w:val="0"/>
      <w:autoSpaceDN w:val="0"/>
      <w:adjustRightInd w:val="0"/>
      <w:jc w:val="center"/>
    </w:pPr>
    <w:rPr>
      <w:rFonts w:ascii="Arial" w:eastAsia="Times New Roman" w:hAnsi="Arial"/>
      <w:sz w:val="22"/>
      <w:szCs w:val="20"/>
      <w:lang w:val="en-AU" w:eastAsia="en-US"/>
    </w:rPr>
  </w:style>
  <w:style w:type="character" w:customStyle="1" w:styleId="HeaderChar">
    <w:name w:val="Header Char"/>
    <w:basedOn w:val="DefaultParagraphFont"/>
    <w:link w:val="Header"/>
    <w:uiPriority w:val="99"/>
    <w:locked/>
    <w:rsid w:val="00567749"/>
    <w:rPr>
      <w:rFonts w:ascii="Arial" w:hAnsi="Arial" w:cs="Times New Roman"/>
      <w:sz w:val="22"/>
      <w:lang w:eastAsia="en-US"/>
    </w:rPr>
  </w:style>
  <w:style w:type="paragraph" w:styleId="PlainText">
    <w:name w:val="Plain Text"/>
    <w:basedOn w:val="Normal"/>
    <w:link w:val="PlainTextChar"/>
    <w:uiPriority w:val="99"/>
    <w:rsid w:val="00B83E3B"/>
    <w:rPr>
      <w:sz w:val="22"/>
      <w:szCs w:val="21"/>
      <w:lang w:val="en-AU" w:eastAsia="en-US"/>
    </w:rPr>
  </w:style>
  <w:style w:type="character" w:customStyle="1" w:styleId="PlainTextChar">
    <w:name w:val="Plain Text Char"/>
    <w:basedOn w:val="DefaultParagraphFont"/>
    <w:link w:val="PlainText"/>
    <w:uiPriority w:val="99"/>
    <w:locked/>
    <w:rsid w:val="00B83E3B"/>
    <w:rPr>
      <w:rFonts w:cs="Times New Roman"/>
      <w:sz w:val="21"/>
      <w:lang w:eastAsia="en-US"/>
    </w:rPr>
  </w:style>
  <w:style w:type="character" w:styleId="CommentReference">
    <w:name w:val="annotation reference"/>
    <w:basedOn w:val="DefaultParagraphFont"/>
    <w:uiPriority w:val="99"/>
    <w:rsid w:val="00B344BB"/>
    <w:rPr>
      <w:rFonts w:cs="Times New Roman"/>
      <w:sz w:val="16"/>
    </w:rPr>
  </w:style>
  <w:style w:type="paragraph" w:styleId="CommentText">
    <w:name w:val="annotation text"/>
    <w:basedOn w:val="Normal"/>
    <w:link w:val="CommentTextChar"/>
    <w:uiPriority w:val="99"/>
    <w:rsid w:val="00B344BB"/>
    <w:rPr>
      <w:sz w:val="20"/>
      <w:szCs w:val="20"/>
    </w:rPr>
  </w:style>
  <w:style w:type="character" w:customStyle="1" w:styleId="CommentTextChar">
    <w:name w:val="Comment Text Char"/>
    <w:basedOn w:val="DefaultParagraphFont"/>
    <w:link w:val="CommentText"/>
    <w:uiPriority w:val="99"/>
    <w:locked/>
    <w:rsid w:val="00B344BB"/>
    <w:rPr>
      <w:rFonts w:cs="Times New Roman"/>
      <w:lang w:val="en-GB" w:eastAsia="en-GB"/>
    </w:rPr>
  </w:style>
  <w:style w:type="paragraph" w:styleId="CommentSubject">
    <w:name w:val="annotation subject"/>
    <w:basedOn w:val="CommentText"/>
    <w:next w:val="CommentText"/>
    <w:link w:val="CommentSubjectChar"/>
    <w:uiPriority w:val="99"/>
    <w:rsid w:val="00B344BB"/>
    <w:rPr>
      <w:b/>
      <w:bCs/>
    </w:rPr>
  </w:style>
  <w:style w:type="character" w:customStyle="1" w:styleId="CommentSubjectChar">
    <w:name w:val="Comment Subject Char"/>
    <w:basedOn w:val="CommentTextChar"/>
    <w:link w:val="CommentSubject"/>
    <w:uiPriority w:val="99"/>
    <w:locked/>
    <w:rsid w:val="00B344BB"/>
    <w:rPr>
      <w:rFonts w:cs="Times New Roman"/>
      <w:b/>
      <w:lang w:val="en-GB" w:eastAsia="en-GB"/>
    </w:rPr>
  </w:style>
  <w:style w:type="paragraph" w:styleId="BalloonText">
    <w:name w:val="Balloon Text"/>
    <w:basedOn w:val="Normal"/>
    <w:link w:val="BalloonTextChar"/>
    <w:uiPriority w:val="99"/>
    <w:rsid w:val="00B344BB"/>
    <w:rPr>
      <w:rFonts w:ascii="Tahoma" w:hAnsi="Tahoma"/>
      <w:sz w:val="16"/>
      <w:szCs w:val="16"/>
    </w:rPr>
  </w:style>
  <w:style w:type="character" w:customStyle="1" w:styleId="BalloonTextChar">
    <w:name w:val="Balloon Text Char"/>
    <w:basedOn w:val="DefaultParagraphFont"/>
    <w:link w:val="BalloonText"/>
    <w:uiPriority w:val="99"/>
    <w:locked/>
    <w:rsid w:val="00B344BB"/>
    <w:rPr>
      <w:rFonts w:ascii="Tahoma" w:hAnsi="Tahoma" w:cs="Times New Roman"/>
      <w:sz w:val="16"/>
      <w:lang w:val="en-GB" w:eastAsia="en-GB"/>
    </w:rPr>
  </w:style>
  <w:style w:type="paragraph" w:styleId="Revision">
    <w:name w:val="Revision"/>
    <w:hidden/>
    <w:uiPriority w:val="99"/>
    <w:semiHidden/>
    <w:rsid w:val="00545C4F"/>
    <w:rPr>
      <w:sz w:val="24"/>
      <w:szCs w:val="24"/>
      <w:lang w:val="en-GB" w:eastAsia="en-GB"/>
    </w:rPr>
  </w:style>
  <w:style w:type="character" w:styleId="Emphasis">
    <w:name w:val="Emphasis"/>
    <w:basedOn w:val="DefaultParagraphFont"/>
    <w:uiPriority w:val="99"/>
    <w:qFormat/>
    <w:rsid w:val="008C73EC"/>
    <w:rPr>
      <w:rFonts w:cs="Times New Roman"/>
      <w:b/>
    </w:rPr>
  </w:style>
  <w:style w:type="character" w:customStyle="1" w:styleId="st1">
    <w:name w:val="st1"/>
    <w:uiPriority w:val="99"/>
    <w:rsid w:val="008C7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3F"/>
    <w:rPr>
      <w:sz w:val="24"/>
      <w:szCs w:val="24"/>
      <w:lang w:val="en-GB" w:eastAsia="en-GB"/>
    </w:rPr>
  </w:style>
  <w:style w:type="paragraph" w:styleId="Heading1">
    <w:name w:val="heading 1"/>
    <w:basedOn w:val="Normal"/>
    <w:next w:val="Normal"/>
    <w:link w:val="Heading1Char"/>
    <w:uiPriority w:val="99"/>
    <w:qFormat/>
    <w:rsid w:val="00CD7438"/>
    <w:pPr>
      <w:keepNext/>
      <w:spacing w:before="240" w:after="60"/>
      <w:outlineLvl w:val="0"/>
    </w:pPr>
    <w:rPr>
      <w:rFonts w:ascii="Trebuchet MS" w:eastAsia="Times New Roman" w:hAnsi="Trebuchet MS"/>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438"/>
    <w:rPr>
      <w:rFonts w:ascii="Trebuchet MS" w:hAnsi="Trebuchet MS" w:cs="Times New Roman"/>
      <w:b/>
      <w:bCs/>
      <w:kern w:val="32"/>
      <w:sz w:val="28"/>
      <w:szCs w:val="28"/>
      <w:lang w:val="en-GB" w:eastAsia="en-GB"/>
    </w:rPr>
  </w:style>
  <w:style w:type="table" w:styleId="TableGrid">
    <w:name w:val="Table Grid"/>
    <w:basedOn w:val="TableNormal"/>
    <w:uiPriority w:val="99"/>
    <w:rsid w:val="00CF2F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F2F67"/>
    <w:rPr>
      <w:rFonts w:cs="Times New Roman"/>
      <w:color w:val="0000FF"/>
      <w:u w:val="single"/>
    </w:rPr>
  </w:style>
  <w:style w:type="paragraph" w:customStyle="1" w:styleId="Li">
    <w:name w:val="Li"/>
    <w:basedOn w:val="Normal"/>
    <w:uiPriority w:val="99"/>
    <w:rsid w:val="0011093F"/>
  </w:style>
  <w:style w:type="paragraph" w:styleId="Header">
    <w:name w:val="header"/>
    <w:basedOn w:val="Normal"/>
    <w:link w:val="HeaderChar"/>
    <w:uiPriority w:val="99"/>
    <w:rsid w:val="00567749"/>
    <w:pPr>
      <w:tabs>
        <w:tab w:val="center" w:pos="4536"/>
        <w:tab w:val="right" w:pos="9072"/>
      </w:tabs>
      <w:overflowPunct w:val="0"/>
      <w:autoSpaceDE w:val="0"/>
      <w:autoSpaceDN w:val="0"/>
      <w:adjustRightInd w:val="0"/>
      <w:jc w:val="center"/>
    </w:pPr>
    <w:rPr>
      <w:rFonts w:ascii="Arial" w:eastAsia="Times New Roman" w:hAnsi="Arial"/>
      <w:sz w:val="22"/>
      <w:szCs w:val="20"/>
      <w:lang w:val="en-AU" w:eastAsia="en-US"/>
    </w:rPr>
  </w:style>
  <w:style w:type="character" w:customStyle="1" w:styleId="HeaderChar">
    <w:name w:val="Header Char"/>
    <w:basedOn w:val="DefaultParagraphFont"/>
    <w:link w:val="Header"/>
    <w:uiPriority w:val="99"/>
    <w:locked/>
    <w:rsid w:val="00567749"/>
    <w:rPr>
      <w:rFonts w:ascii="Arial" w:hAnsi="Arial" w:cs="Times New Roman"/>
      <w:sz w:val="22"/>
      <w:lang w:eastAsia="en-US"/>
    </w:rPr>
  </w:style>
  <w:style w:type="paragraph" w:styleId="PlainText">
    <w:name w:val="Plain Text"/>
    <w:basedOn w:val="Normal"/>
    <w:link w:val="PlainTextChar"/>
    <w:uiPriority w:val="99"/>
    <w:rsid w:val="00B83E3B"/>
    <w:rPr>
      <w:sz w:val="22"/>
      <w:szCs w:val="21"/>
      <w:lang w:val="en-AU" w:eastAsia="en-US"/>
    </w:rPr>
  </w:style>
  <w:style w:type="character" w:customStyle="1" w:styleId="PlainTextChar">
    <w:name w:val="Plain Text Char"/>
    <w:basedOn w:val="DefaultParagraphFont"/>
    <w:link w:val="PlainText"/>
    <w:uiPriority w:val="99"/>
    <w:locked/>
    <w:rsid w:val="00B83E3B"/>
    <w:rPr>
      <w:rFonts w:cs="Times New Roman"/>
      <w:sz w:val="21"/>
      <w:lang w:eastAsia="en-US"/>
    </w:rPr>
  </w:style>
  <w:style w:type="character" w:styleId="CommentReference">
    <w:name w:val="annotation reference"/>
    <w:basedOn w:val="DefaultParagraphFont"/>
    <w:uiPriority w:val="99"/>
    <w:rsid w:val="00B344BB"/>
    <w:rPr>
      <w:rFonts w:cs="Times New Roman"/>
      <w:sz w:val="16"/>
    </w:rPr>
  </w:style>
  <w:style w:type="paragraph" w:styleId="CommentText">
    <w:name w:val="annotation text"/>
    <w:basedOn w:val="Normal"/>
    <w:link w:val="CommentTextChar"/>
    <w:uiPriority w:val="99"/>
    <w:rsid w:val="00B344BB"/>
    <w:rPr>
      <w:sz w:val="20"/>
      <w:szCs w:val="20"/>
    </w:rPr>
  </w:style>
  <w:style w:type="character" w:customStyle="1" w:styleId="CommentTextChar">
    <w:name w:val="Comment Text Char"/>
    <w:basedOn w:val="DefaultParagraphFont"/>
    <w:link w:val="CommentText"/>
    <w:uiPriority w:val="99"/>
    <w:locked/>
    <w:rsid w:val="00B344BB"/>
    <w:rPr>
      <w:rFonts w:cs="Times New Roman"/>
      <w:lang w:val="en-GB" w:eastAsia="en-GB"/>
    </w:rPr>
  </w:style>
  <w:style w:type="paragraph" w:styleId="CommentSubject">
    <w:name w:val="annotation subject"/>
    <w:basedOn w:val="CommentText"/>
    <w:next w:val="CommentText"/>
    <w:link w:val="CommentSubjectChar"/>
    <w:uiPriority w:val="99"/>
    <w:rsid w:val="00B344BB"/>
    <w:rPr>
      <w:b/>
      <w:bCs/>
    </w:rPr>
  </w:style>
  <w:style w:type="character" w:customStyle="1" w:styleId="CommentSubjectChar">
    <w:name w:val="Comment Subject Char"/>
    <w:basedOn w:val="CommentTextChar"/>
    <w:link w:val="CommentSubject"/>
    <w:uiPriority w:val="99"/>
    <w:locked/>
    <w:rsid w:val="00B344BB"/>
    <w:rPr>
      <w:rFonts w:cs="Times New Roman"/>
      <w:b/>
      <w:lang w:val="en-GB" w:eastAsia="en-GB"/>
    </w:rPr>
  </w:style>
  <w:style w:type="paragraph" w:styleId="BalloonText">
    <w:name w:val="Balloon Text"/>
    <w:basedOn w:val="Normal"/>
    <w:link w:val="BalloonTextChar"/>
    <w:uiPriority w:val="99"/>
    <w:rsid w:val="00B344BB"/>
    <w:rPr>
      <w:rFonts w:ascii="Tahoma" w:hAnsi="Tahoma"/>
      <w:sz w:val="16"/>
      <w:szCs w:val="16"/>
    </w:rPr>
  </w:style>
  <w:style w:type="character" w:customStyle="1" w:styleId="BalloonTextChar">
    <w:name w:val="Balloon Text Char"/>
    <w:basedOn w:val="DefaultParagraphFont"/>
    <w:link w:val="BalloonText"/>
    <w:uiPriority w:val="99"/>
    <w:locked/>
    <w:rsid w:val="00B344BB"/>
    <w:rPr>
      <w:rFonts w:ascii="Tahoma" w:hAnsi="Tahoma" w:cs="Times New Roman"/>
      <w:sz w:val="16"/>
      <w:lang w:val="en-GB" w:eastAsia="en-GB"/>
    </w:rPr>
  </w:style>
  <w:style w:type="paragraph" w:styleId="Revision">
    <w:name w:val="Revision"/>
    <w:hidden/>
    <w:uiPriority w:val="99"/>
    <w:semiHidden/>
    <w:rsid w:val="00545C4F"/>
    <w:rPr>
      <w:sz w:val="24"/>
      <w:szCs w:val="24"/>
      <w:lang w:val="en-GB" w:eastAsia="en-GB"/>
    </w:rPr>
  </w:style>
  <w:style w:type="character" w:styleId="Emphasis">
    <w:name w:val="Emphasis"/>
    <w:basedOn w:val="DefaultParagraphFont"/>
    <w:uiPriority w:val="99"/>
    <w:qFormat/>
    <w:rsid w:val="008C73EC"/>
    <w:rPr>
      <w:rFonts w:cs="Times New Roman"/>
      <w:b/>
    </w:rPr>
  </w:style>
  <w:style w:type="character" w:customStyle="1" w:styleId="st1">
    <w:name w:val="st1"/>
    <w:uiPriority w:val="99"/>
    <w:rsid w:val="008C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2230">
      <w:marLeft w:val="0"/>
      <w:marRight w:val="0"/>
      <w:marTop w:val="0"/>
      <w:marBottom w:val="0"/>
      <w:divBdr>
        <w:top w:val="none" w:sz="0" w:space="0" w:color="auto"/>
        <w:left w:val="none" w:sz="0" w:space="0" w:color="auto"/>
        <w:bottom w:val="none" w:sz="0" w:space="0" w:color="auto"/>
        <w:right w:val="none" w:sz="0" w:space="0" w:color="auto"/>
      </w:divBdr>
    </w:div>
    <w:div w:id="1063872231">
      <w:marLeft w:val="0"/>
      <w:marRight w:val="0"/>
      <w:marTop w:val="0"/>
      <w:marBottom w:val="0"/>
      <w:divBdr>
        <w:top w:val="none" w:sz="0" w:space="0" w:color="auto"/>
        <w:left w:val="none" w:sz="0" w:space="0" w:color="auto"/>
        <w:bottom w:val="none" w:sz="0" w:space="0" w:color="auto"/>
        <w:right w:val="none" w:sz="0" w:space="0" w:color="auto"/>
      </w:divBdr>
    </w:div>
    <w:div w:id="1063872232">
      <w:marLeft w:val="0"/>
      <w:marRight w:val="0"/>
      <w:marTop w:val="0"/>
      <w:marBottom w:val="0"/>
      <w:divBdr>
        <w:top w:val="none" w:sz="0" w:space="0" w:color="auto"/>
        <w:left w:val="none" w:sz="0" w:space="0" w:color="auto"/>
        <w:bottom w:val="none" w:sz="0" w:space="0" w:color="auto"/>
        <w:right w:val="none" w:sz="0" w:space="0" w:color="auto"/>
      </w:divBdr>
    </w:div>
    <w:div w:id="1063872233">
      <w:marLeft w:val="0"/>
      <w:marRight w:val="0"/>
      <w:marTop w:val="0"/>
      <w:marBottom w:val="0"/>
      <w:divBdr>
        <w:top w:val="none" w:sz="0" w:space="0" w:color="auto"/>
        <w:left w:val="none" w:sz="0" w:space="0" w:color="auto"/>
        <w:bottom w:val="none" w:sz="0" w:space="0" w:color="auto"/>
        <w:right w:val="none" w:sz="0" w:space="0" w:color="auto"/>
      </w:divBdr>
    </w:div>
    <w:div w:id="1063872234">
      <w:marLeft w:val="0"/>
      <w:marRight w:val="0"/>
      <w:marTop w:val="0"/>
      <w:marBottom w:val="0"/>
      <w:divBdr>
        <w:top w:val="none" w:sz="0" w:space="0" w:color="auto"/>
        <w:left w:val="none" w:sz="0" w:space="0" w:color="auto"/>
        <w:bottom w:val="none" w:sz="0" w:space="0" w:color="auto"/>
        <w:right w:val="none" w:sz="0" w:space="0" w:color="auto"/>
      </w:divBdr>
    </w:div>
    <w:div w:id="1063872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ACHRA AHRC release 2015</vt:lpstr>
    </vt:vector>
  </TitlesOfParts>
  <Company>Australian Human Rights Commission</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ACHRA AHRC release 2015</dc:title>
  <dc:creator>Ms Anne Gale</dc:creator>
  <cp:lastModifiedBy>Harris, Hilary</cp:lastModifiedBy>
  <cp:revision>2</cp:revision>
  <cp:lastPrinted>2015-02-19T05:29:00Z</cp:lastPrinted>
  <dcterms:created xsi:type="dcterms:W3CDTF">2015-02-19T21:14:00Z</dcterms:created>
  <dcterms:modified xsi:type="dcterms:W3CDTF">2015-02-19T21:14:00Z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TRIMID">
    <vt:lpwstr/>
  </property>
</Properties>
</file>