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AA" w:rsidRDefault="00AB79CE" w:rsidP="009E143B">
      <w:pPr>
        <w:pStyle w:val="EOTDocumenttitle"/>
      </w:pPr>
      <w:r>
        <w:t>Willing to Work: National Inquiry into Employment Discrimination against Older Australians</w:t>
      </w:r>
    </w:p>
    <w:p w:rsidR="00AB79CE" w:rsidRDefault="00AB79CE" w:rsidP="00A04497">
      <w:pPr>
        <w:spacing w:line="400" w:lineRule="exact"/>
      </w:pPr>
    </w:p>
    <w:p w:rsidR="00A04497" w:rsidRDefault="00A04497" w:rsidP="00A04497">
      <w:pPr>
        <w:spacing w:line="400" w:lineRule="exact"/>
      </w:pPr>
    </w:p>
    <w:p w:rsidR="00A04497" w:rsidRDefault="00A04497" w:rsidP="00A04497">
      <w:pPr>
        <w:spacing w:line="400" w:lineRule="exact"/>
      </w:pPr>
    </w:p>
    <w:p w:rsidR="00AB79CE" w:rsidRDefault="00AB79CE" w:rsidP="00A04497">
      <w:pPr>
        <w:pStyle w:val="EOTSubtitleanddate"/>
      </w:pPr>
      <w:r>
        <w:t>Submission by the Anti-Discrimination Commissioner (</w:t>
      </w:r>
      <w:proofErr w:type="gramStart"/>
      <w:r>
        <w:t>Tas</w:t>
      </w:r>
      <w:proofErr w:type="gramEnd"/>
      <w:r>
        <w:t>)</w:t>
      </w:r>
    </w:p>
    <w:p w:rsidR="00E900C3" w:rsidRPr="00E900C3" w:rsidRDefault="00F72570" w:rsidP="00A04497">
      <w:pPr>
        <w:pStyle w:val="EOTSubtitleanddate"/>
      </w:pPr>
      <w:r>
        <w:t>January 2016</w:t>
      </w:r>
    </w:p>
    <w:p w:rsidR="00A04497" w:rsidRDefault="00A04497" w:rsidP="00A04497">
      <w:pPr>
        <w:pStyle w:val="Frontpagefootertop"/>
      </w:pPr>
    </w:p>
    <w:p w:rsidR="00A04497" w:rsidRPr="008A53CF" w:rsidRDefault="00A04497" w:rsidP="00A04497">
      <w:pPr>
        <w:pStyle w:val="FrontpageEOTname"/>
      </w:pPr>
      <w:r w:rsidRPr="008A53CF">
        <w:t>Equal Opportunity Tasmania</w:t>
      </w:r>
    </w:p>
    <w:p w:rsidR="00A04497" w:rsidRPr="00D52290" w:rsidRDefault="00A04497" w:rsidP="00A04497">
      <w:pPr>
        <w:pStyle w:val="Frontpagefootertextwithspacing"/>
      </w:pPr>
      <w:r w:rsidRPr="00D52290">
        <w:t>(</w:t>
      </w:r>
      <w:proofErr w:type="gramStart"/>
      <w:r w:rsidRPr="00D52290">
        <w:t>the</w:t>
      </w:r>
      <w:proofErr w:type="gramEnd"/>
      <w:r w:rsidRPr="00D52290">
        <w:t xml:space="preserve"> office of the Anti-Discrimination Commissioner) </w:t>
      </w:r>
    </w:p>
    <w:p w:rsidR="00A04497" w:rsidRPr="00D52290" w:rsidRDefault="00A04497" w:rsidP="00A04497">
      <w:pPr>
        <w:pStyle w:val="Frontpagefooter-textwithoutspacing"/>
      </w:pPr>
      <w:r w:rsidRPr="00D52290">
        <w:rPr>
          <w:b/>
        </w:rPr>
        <w:t>Phone:</w:t>
      </w:r>
      <w:r w:rsidRPr="00D52290">
        <w:t xml:space="preserve"> 1300 305 062 (in Tasmania) or (03) 6165 7515</w:t>
      </w:r>
    </w:p>
    <w:p w:rsidR="00A04497" w:rsidRPr="00D52290" w:rsidRDefault="00A04497" w:rsidP="00A04497">
      <w:pPr>
        <w:pStyle w:val="Frontpagefootertextwithspacing"/>
      </w:pPr>
      <w:r w:rsidRPr="00D52290">
        <w:rPr>
          <w:b/>
        </w:rPr>
        <w:t>E-mail:</w:t>
      </w:r>
      <w:r w:rsidRPr="00D52290">
        <w:t xml:space="preserve"> office@equalopportunity.tas.gov.au</w:t>
      </w:r>
    </w:p>
    <w:p w:rsidR="00A04497" w:rsidRPr="00D52290" w:rsidRDefault="00A04497" w:rsidP="00A04497">
      <w:pPr>
        <w:pStyle w:val="Frontpagefootertextwithspacing"/>
      </w:pPr>
      <w:r w:rsidRPr="00D52290">
        <w:rPr>
          <w:b/>
        </w:rPr>
        <w:t>Web SMS:</w:t>
      </w:r>
      <w:r w:rsidRPr="00D52290">
        <w:t xml:space="preserve"> 0409 401 083</w:t>
      </w:r>
    </w:p>
    <w:p w:rsidR="00A04497" w:rsidRPr="00D52290" w:rsidRDefault="00A04497" w:rsidP="00A04497">
      <w:pPr>
        <w:pStyle w:val="Frontpagefootertextwithspacing"/>
      </w:pPr>
      <w:r w:rsidRPr="008A53CF">
        <w:rPr>
          <w:b/>
        </w:rPr>
        <w:t>Translating and Interpreting Service:</w:t>
      </w:r>
      <w:r w:rsidRPr="00D52290">
        <w:t xml:space="preserve"> 131 450</w:t>
      </w:r>
    </w:p>
    <w:p w:rsidR="00A04497" w:rsidRPr="008A53CF" w:rsidRDefault="00A04497" w:rsidP="00A04497">
      <w:pPr>
        <w:pStyle w:val="Frontpagefooter-textwithoutspacing"/>
        <w:rPr>
          <w:b/>
        </w:rPr>
      </w:pPr>
      <w:r w:rsidRPr="008A53CF">
        <w:rPr>
          <w:b/>
        </w:rPr>
        <w:t>National Relay Service</w:t>
      </w:r>
    </w:p>
    <w:p w:rsidR="00A04497" w:rsidRPr="008A53CF" w:rsidRDefault="00A04497" w:rsidP="00A04497">
      <w:pPr>
        <w:pStyle w:val="Frontpagefooter-textwithoutspacing"/>
      </w:pPr>
      <w:r w:rsidRPr="008A53CF">
        <w:t>TTY Users: Phone 133 677 then ask for 1300 305 062</w:t>
      </w:r>
    </w:p>
    <w:p w:rsidR="00A04497" w:rsidRPr="00D52290" w:rsidRDefault="00A04497" w:rsidP="00A04497">
      <w:pPr>
        <w:pStyle w:val="Frontpagefootertextwithspacing"/>
      </w:pPr>
      <w:r w:rsidRPr="00D52290">
        <w:t>Speak and Listen: 1300 555 727 then ask for 1300 305 062</w:t>
      </w:r>
    </w:p>
    <w:p w:rsidR="00A04497" w:rsidRPr="00D52290" w:rsidRDefault="00A04497" w:rsidP="00A04497">
      <w:pPr>
        <w:pStyle w:val="Frontpagefooter-textwithoutspacing"/>
      </w:pPr>
      <w:r w:rsidRPr="00D52290">
        <w:rPr>
          <w:b/>
        </w:rPr>
        <w:t>Office:</w:t>
      </w:r>
      <w:r w:rsidRPr="00D52290">
        <w:t xml:space="preserve"> Level 1, 54 Victoria St, Hobart TAS 7000</w:t>
      </w:r>
    </w:p>
    <w:p w:rsidR="00A04497" w:rsidRPr="00D52290" w:rsidRDefault="00A04497" w:rsidP="00A04497">
      <w:pPr>
        <w:pStyle w:val="Frontpagefootertextwithspacing"/>
      </w:pPr>
      <w:r w:rsidRPr="00D52290">
        <w:rPr>
          <w:b/>
        </w:rPr>
        <w:t>Post:</w:t>
      </w:r>
      <w:r w:rsidRPr="00D52290">
        <w:t xml:space="preserve"> GPO Box 197, Hobart TAS 7001</w:t>
      </w:r>
    </w:p>
    <w:p w:rsidR="00D67152" w:rsidRDefault="00A04497" w:rsidP="00411ACD">
      <w:pPr>
        <w:pStyle w:val="Frontpagefooter-website"/>
      </w:pPr>
      <w:r w:rsidRPr="008A53CF">
        <w:t>www.equalopportunity.tas.gov.au</w:t>
      </w:r>
      <w:r>
        <w:rPr>
          <w:noProof/>
        </w:rPr>
        <w:drawing>
          <wp:anchor distT="0" distB="0" distL="114300" distR="114300" simplePos="0" relativeHeight="251661312" behindDoc="0" locked="0" layoutInCell="1" allowOverlap="1" wp14:anchorId="2B3D2A11" wp14:editId="648386E5">
            <wp:simplePos x="0" y="0"/>
            <wp:positionH relativeFrom="column">
              <wp:posOffset>-118110</wp:posOffset>
            </wp:positionH>
            <wp:positionV relativeFrom="paragraph">
              <wp:posOffset>516255</wp:posOffset>
            </wp:positionV>
            <wp:extent cx="170497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p w:rsidR="00AB79CE" w:rsidRDefault="00AB79CE" w:rsidP="00AB79CE"/>
    <w:p w:rsidR="009F4EF9" w:rsidRDefault="009F4EF9" w:rsidP="00AB79CE"/>
    <w:p w:rsidR="0092020B" w:rsidRDefault="0092020B">
      <w:pPr>
        <w:sectPr w:rsidR="0092020B" w:rsidSect="00A04497">
          <w:footerReference w:type="default" r:id="rId10"/>
          <w:headerReference w:type="first" r:id="rId11"/>
          <w:footerReference w:type="first" r:id="rId12"/>
          <w:pgSz w:w="11906" w:h="16838" w:code="9"/>
          <w:pgMar w:top="3402" w:right="1321" w:bottom="686" w:left="1281" w:header="720" w:footer="720" w:gutter="0"/>
          <w:cols w:space="708"/>
          <w:titlePg/>
          <w:docGrid w:linePitch="360"/>
        </w:sectPr>
      </w:pPr>
    </w:p>
    <w:p w:rsidR="00460734" w:rsidRPr="00A04497" w:rsidRDefault="00460734" w:rsidP="00460734">
      <w:pPr>
        <w:pStyle w:val="EOT-Subheadingunderlined"/>
      </w:pPr>
      <w:r>
        <w:lastRenderedPageBreak/>
        <w:t>Contents</w:t>
      </w:r>
    </w:p>
    <w:p w:rsidR="00460734" w:rsidRPr="00A04497" w:rsidRDefault="00460734" w:rsidP="00460734">
      <w:pPr>
        <w:pStyle w:val="Footer"/>
        <w:pBdr>
          <w:top w:val="single" w:sz="4" w:space="1" w:color="auto"/>
        </w:pBdr>
        <w:spacing w:after="240" w:line="280" w:lineRule="exact"/>
        <w:jc w:val="right"/>
        <w:rPr>
          <w:sz w:val="24"/>
          <w:szCs w:val="24"/>
        </w:rPr>
      </w:pPr>
    </w:p>
    <w:sdt>
      <w:sdtPr>
        <w:rPr>
          <w:rFonts w:eastAsia="Times New Roman" w:cs="Arial"/>
          <w:b w:val="0"/>
          <w:bCs/>
          <w:sz w:val="24"/>
          <w:szCs w:val="24"/>
        </w:rPr>
        <w:id w:val="1229653558"/>
        <w:docPartObj>
          <w:docPartGallery w:val="Table of Contents"/>
          <w:docPartUnique/>
        </w:docPartObj>
      </w:sdtPr>
      <w:sdtEndPr>
        <w:rPr>
          <w:rFonts w:eastAsiaTheme="minorHAnsi" w:cstheme="minorBidi"/>
          <w:bCs w:val="0"/>
          <w:caps w:val="0"/>
          <w:sz w:val="22"/>
          <w:szCs w:val="22"/>
        </w:rPr>
      </w:sdtEndPr>
      <w:sdtContent>
        <w:p w:rsidR="00FB6808" w:rsidRDefault="00981E88">
          <w:pPr>
            <w:pStyle w:val="TOC1"/>
            <w:rPr>
              <w:rFonts w:asciiTheme="minorHAnsi" w:eastAsiaTheme="minorEastAsia" w:hAnsiTheme="minorHAnsi"/>
              <w:b w:val="0"/>
              <w:caps w:val="0"/>
              <w:color w:val="auto"/>
              <w:sz w:val="22"/>
              <w:szCs w:val="22"/>
            </w:rPr>
          </w:pPr>
          <w:r>
            <w:fldChar w:fldCharType="begin"/>
          </w:r>
          <w:r>
            <w:instrText xml:space="preserve"> TOC \o "3-3" \h \z \t "Heading 1,1,Heading 2,2,Normal submission text,1,Numbered paragraph,1" </w:instrText>
          </w:r>
          <w:r>
            <w:fldChar w:fldCharType="separate"/>
          </w:r>
          <w:hyperlink w:anchor="_Toc441923552" w:history="1">
            <w:r w:rsidR="00FB6808" w:rsidRPr="00C47962">
              <w:rPr>
                <w:rStyle w:val="Hyperlink"/>
              </w:rPr>
              <w:t>Introduction</w:t>
            </w:r>
            <w:r w:rsidR="00FB6808">
              <w:rPr>
                <w:webHidden/>
              </w:rPr>
              <w:tab/>
            </w:r>
            <w:r w:rsidR="00FB6808">
              <w:rPr>
                <w:webHidden/>
              </w:rPr>
              <w:fldChar w:fldCharType="begin"/>
            </w:r>
            <w:r w:rsidR="00FB6808">
              <w:rPr>
                <w:webHidden/>
              </w:rPr>
              <w:instrText xml:space="preserve"> PAGEREF _Toc441923552 \h </w:instrText>
            </w:r>
            <w:r w:rsidR="00FB6808">
              <w:rPr>
                <w:webHidden/>
              </w:rPr>
            </w:r>
            <w:r w:rsidR="00FB6808">
              <w:rPr>
                <w:webHidden/>
              </w:rPr>
              <w:fldChar w:fldCharType="separate"/>
            </w:r>
            <w:r w:rsidR="00FB6808">
              <w:rPr>
                <w:webHidden/>
              </w:rPr>
              <w:t>5</w:t>
            </w:r>
            <w:r w:rsidR="00FB6808">
              <w:rPr>
                <w:webHidden/>
              </w:rPr>
              <w:fldChar w:fldCharType="end"/>
            </w:r>
          </w:hyperlink>
        </w:p>
        <w:p w:rsidR="00FB6808" w:rsidRDefault="00FB6808">
          <w:pPr>
            <w:pStyle w:val="TOC1"/>
            <w:rPr>
              <w:rFonts w:asciiTheme="minorHAnsi" w:eastAsiaTheme="minorEastAsia" w:hAnsiTheme="minorHAnsi"/>
              <w:b w:val="0"/>
              <w:caps w:val="0"/>
              <w:color w:val="auto"/>
              <w:sz w:val="22"/>
              <w:szCs w:val="22"/>
            </w:rPr>
          </w:pPr>
          <w:hyperlink w:anchor="_Toc441923553" w:history="1">
            <w:r w:rsidRPr="00C47962">
              <w:rPr>
                <w:rStyle w:val="Hyperlink"/>
              </w:rPr>
              <w:t>Background</w:t>
            </w:r>
            <w:r>
              <w:rPr>
                <w:webHidden/>
              </w:rPr>
              <w:tab/>
            </w:r>
            <w:r>
              <w:rPr>
                <w:webHidden/>
              </w:rPr>
              <w:fldChar w:fldCharType="begin"/>
            </w:r>
            <w:r>
              <w:rPr>
                <w:webHidden/>
              </w:rPr>
              <w:instrText xml:space="preserve"> PAGEREF _Toc441923553 \h </w:instrText>
            </w:r>
            <w:r>
              <w:rPr>
                <w:webHidden/>
              </w:rPr>
            </w:r>
            <w:r>
              <w:rPr>
                <w:webHidden/>
              </w:rPr>
              <w:fldChar w:fldCharType="separate"/>
            </w:r>
            <w:r>
              <w:rPr>
                <w:webHidden/>
              </w:rPr>
              <w:t>6</w:t>
            </w:r>
            <w:r>
              <w:rPr>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54" w:history="1">
            <w:r w:rsidRPr="00C47962">
              <w:rPr>
                <w:rStyle w:val="Hyperlink"/>
                <w:noProof/>
              </w:rPr>
              <w:t>The Tasmanian situation</w:t>
            </w:r>
            <w:r>
              <w:rPr>
                <w:noProof/>
                <w:webHidden/>
              </w:rPr>
              <w:tab/>
            </w:r>
            <w:r>
              <w:rPr>
                <w:noProof/>
                <w:webHidden/>
              </w:rPr>
              <w:fldChar w:fldCharType="begin"/>
            </w:r>
            <w:r>
              <w:rPr>
                <w:noProof/>
                <w:webHidden/>
              </w:rPr>
              <w:instrText xml:space="preserve"> PAGEREF _Toc441923554 \h </w:instrText>
            </w:r>
            <w:r>
              <w:rPr>
                <w:noProof/>
                <w:webHidden/>
              </w:rPr>
            </w:r>
            <w:r>
              <w:rPr>
                <w:noProof/>
                <w:webHidden/>
              </w:rPr>
              <w:fldChar w:fldCharType="separate"/>
            </w:r>
            <w:r>
              <w:rPr>
                <w:noProof/>
                <w:webHidden/>
              </w:rPr>
              <w:t>6</w:t>
            </w:r>
            <w:r>
              <w:rPr>
                <w:noProof/>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55" w:history="1">
            <w:r w:rsidRPr="00C47962">
              <w:rPr>
                <w:rStyle w:val="Hyperlink"/>
                <w:noProof/>
              </w:rPr>
              <w:t>Inclusive Ageing Strategy</w:t>
            </w:r>
            <w:r>
              <w:rPr>
                <w:noProof/>
                <w:webHidden/>
              </w:rPr>
              <w:tab/>
            </w:r>
            <w:r>
              <w:rPr>
                <w:noProof/>
                <w:webHidden/>
              </w:rPr>
              <w:fldChar w:fldCharType="begin"/>
            </w:r>
            <w:r>
              <w:rPr>
                <w:noProof/>
                <w:webHidden/>
              </w:rPr>
              <w:instrText xml:space="preserve"> PAGEREF _Toc441923555 \h </w:instrText>
            </w:r>
            <w:r>
              <w:rPr>
                <w:noProof/>
                <w:webHidden/>
              </w:rPr>
            </w:r>
            <w:r>
              <w:rPr>
                <w:noProof/>
                <w:webHidden/>
              </w:rPr>
              <w:fldChar w:fldCharType="separate"/>
            </w:r>
            <w:r>
              <w:rPr>
                <w:noProof/>
                <w:webHidden/>
              </w:rPr>
              <w:t>7</w:t>
            </w:r>
            <w:r>
              <w:rPr>
                <w:noProof/>
                <w:webHidden/>
              </w:rPr>
              <w:fldChar w:fldCharType="end"/>
            </w:r>
          </w:hyperlink>
        </w:p>
        <w:p w:rsidR="00FB6808" w:rsidRDefault="00FB6808">
          <w:pPr>
            <w:pStyle w:val="TOC1"/>
            <w:rPr>
              <w:rFonts w:asciiTheme="minorHAnsi" w:eastAsiaTheme="minorEastAsia" w:hAnsiTheme="minorHAnsi"/>
              <w:b w:val="0"/>
              <w:caps w:val="0"/>
              <w:color w:val="auto"/>
              <w:sz w:val="22"/>
              <w:szCs w:val="22"/>
            </w:rPr>
          </w:pPr>
          <w:hyperlink w:anchor="_Toc441923556" w:history="1">
            <w:r w:rsidRPr="00C47962">
              <w:rPr>
                <w:rStyle w:val="Hyperlink"/>
              </w:rPr>
              <w:t>Barriers to remaining in the workforce</w:t>
            </w:r>
            <w:r>
              <w:rPr>
                <w:webHidden/>
              </w:rPr>
              <w:tab/>
            </w:r>
            <w:r>
              <w:rPr>
                <w:webHidden/>
              </w:rPr>
              <w:fldChar w:fldCharType="begin"/>
            </w:r>
            <w:r>
              <w:rPr>
                <w:webHidden/>
              </w:rPr>
              <w:instrText xml:space="preserve"> PAGEREF _Toc441923556 \h </w:instrText>
            </w:r>
            <w:r>
              <w:rPr>
                <w:webHidden/>
              </w:rPr>
            </w:r>
            <w:r>
              <w:rPr>
                <w:webHidden/>
              </w:rPr>
              <w:fldChar w:fldCharType="separate"/>
            </w:r>
            <w:r>
              <w:rPr>
                <w:webHidden/>
              </w:rPr>
              <w:t>8</w:t>
            </w:r>
            <w:r>
              <w:rPr>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57" w:history="1">
            <w:r w:rsidRPr="00C47962">
              <w:rPr>
                <w:rStyle w:val="Hyperlink"/>
                <w:noProof/>
              </w:rPr>
              <w:t>Workplace redundancy and renewal arrangements</w:t>
            </w:r>
            <w:r>
              <w:rPr>
                <w:noProof/>
                <w:webHidden/>
              </w:rPr>
              <w:tab/>
            </w:r>
            <w:r>
              <w:rPr>
                <w:noProof/>
                <w:webHidden/>
              </w:rPr>
              <w:fldChar w:fldCharType="begin"/>
            </w:r>
            <w:r>
              <w:rPr>
                <w:noProof/>
                <w:webHidden/>
              </w:rPr>
              <w:instrText xml:space="preserve"> PAGEREF _Toc441923557 \h </w:instrText>
            </w:r>
            <w:r>
              <w:rPr>
                <w:noProof/>
                <w:webHidden/>
              </w:rPr>
            </w:r>
            <w:r>
              <w:rPr>
                <w:noProof/>
                <w:webHidden/>
              </w:rPr>
              <w:fldChar w:fldCharType="separate"/>
            </w:r>
            <w:r>
              <w:rPr>
                <w:noProof/>
                <w:webHidden/>
              </w:rPr>
              <w:t>8</w:t>
            </w:r>
            <w:r>
              <w:rPr>
                <w:noProof/>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58" w:history="1">
            <w:r w:rsidRPr="00C47962">
              <w:rPr>
                <w:rStyle w:val="Hyperlink"/>
                <w:noProof/>
              </w:rPr>
              <w:t>Impact of low attachment</w:t>
            </w:r>
            <w:r>
              <w:rPr>
                <w:noProof/>
                <w:webHidden/>
              </w:rPr>
              <w:tab/>
            </w:r>
            <w:r>
              <w:rPr>
                <w:noProof/>
                <w:webHidden/>
              </w:rPr>
              <w:fldChar w:fldCharType="begin"/>
            </w:r>
            <w:r>
              <w:rPr>
                <w:noProof/>
                <w:webHidden/>
              </w:rPr>
              <w:instrText xml:space="preserve"> PAGEREF _Toc441923558 \h </w:instrText>
            </w:r>
            <w:r>
              <w:rPr>
                <w:noProof/>
                <w:webHidden/>
              </w:rPr>
            </w:r>
            <w:r>
              <w:rPr>
                <w:noProof/>
                <w:webHidden/>
              </w:rPr>
              <w:fldChar w:fldCharType="separate"/>
            </w:r>
            <w:r>
              <w:rPr>
                <w:noProof/>
                <w:webHidden/>
              </w:rPr>
              <w:t>10</w:t>
            </w:r>
            <w:r>
              <w:rPr>
                <w:noProof/>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59" w:history="1">
            <w:r w:rsidRPr="00C47962">
              <w:rPr>
                <w:rStyle w:val="Hyperlink"/>
                <w:noProof/>
              </w:rPr>
              <w:t>Managing an ageing workforce</w:t>
            </w:r>
            <w:r>
              <w:rPr>
                <w:noProof/>
                <w:webHidden/>
              </w:rPr>
              <w:tab/>
            </w:r>
            <w:r>
              <w:rPr>
                <w:noProof/>
                <w:webHidden/>
              </w:rPr>
              <w:fldChar w:fldCharType="begin"/>
            </w:r>
            <w:r>
              <w:rPr>
                <w:noProof/>
                <w:webHidden/>
              </w:rPr>
              <w:instrText xml:space="preserve"> PAGEREF _Toc441923559 \h </w:instrText>
            </w:r>
            <w:r>
              <w:rPr>
                <w:noProof/>
                <w:webHidden/>
              </w:rPr>
            </w:r>
            <w:r>
              <w:rPr>
                <w:noProof/>
                <w:webHidden/>
              </w:rPr>
              <w:fldChar w:fldCharType="separate"/>
            </w:r>
            <w:r>
              <w:rPr>
                <w:noProof/>
                <w:webHidden/>
              </w:rPr>
              <w:t>11</w:t>
            </w:r>
            <w:r>
              <w:rPr>
                <w:noProof/>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60" w:history="1">
            <w:r w:rsidRPr="00C47962">
              <w:rPr>
                <w:rStyle w:val="Hyperlink"/>
                <w:noProof/>
              </w:rPr>
              <w:t>Access to Flexible Working Arrangements</w:t>
            </w:r>
            <w:r>
              <w:rPr>
                <w:noProof/>
                <w:webHidden/>
              </w:rPr>
              <w:tab/>
            </w:r>
            <w:r>
              <w:rPr>
                <w:noProof/>
                <w:webHidden/>
              </w:rPr>
              <w:fldChar w:fldCharType="begin"/>
            </w:r>
            <w:r>
              <w:rPr>
                <w:noProof/>
                <w:webHidden/>
              </w:rPr>
              <w:instrText xml:space="preserve"> PAGEREF _Toc441923560 \h </w:instrText>
            </w:r>
            <w:r>
              <w:rPr>
                <w:noProof/>
                <w:webHidden/>
              </w:rPr>
            </w:r>
            <w:r>
              <w:rPr>
                <w:noProof/>
                <w:webHidden/>
              </w:rPr>
              <w:fldChar w:fldCharType="separate"/>
            </w:r>
            <w:r>
              <w:rPr>
                <w:noProof/>
                <w:webHidden/>
              </w:rPr>
              <w:t>11</w:t>
            </w:r>
            <w:r>
              <w:rPr>
                <w:noProof/>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61" w:history="1">
            <w:r w:rsidRPr="00C47962">
              <w:rPr>
                <w:rStyle w:val="Hyperlink"/>
                <w:noProof/>
              </w:rPr>
              <w:t>Access to workers compensation</w:t>
            </w:r>
            <w:r>
              <w:rPr>
                <w:noProof/>
                <w:webHidden/>
              </w:rPr>
              <w:tab/>
            </w:r>
            <w:r>
              <w:rPr>
                <w:noProof/>
                <w:webHidden/>
              </w:rPr>
              <w:fldChar w:fldCharType="begin"/>
            </w:r>
            <w:r>
              <w:rPr>
                <w:noProof/>
                <w:webHidden/>
              </w:rPr>
              <w:instrText xml:space="preserve"> PAGEREF _Toc441923561 \h </w:instrText>
            </w:r>
            <w:r>
              <w:rPr>
                <w:noProof/>
                <w:webHidden/>
              </w:rPr>
            </w:r>
            <w:r>
              <w:rPr>
                <w:noProof/>
                <w:webHidden/>
              </w:rPr>
              <w:fldChar w:fldCharType="separate"/>
            </w:r>
            <w:r>
              <w:rPr>
                <w:noProof/>
                <w:webHidden/>
              </w:rPr>
              <w:t>12</w:t>
            </w:r>
            <w:r>
              <w:rPr>
                <w:noProof/>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62" w:history="1">
            <w:r w:rsidRPr="00C47962">
              <w:rPr>
                <w:rStyle w:val="Hyperlink"/>
                <w:noProof/>
              </w:rPr>
              <w:t>Access to insurance</w:t>
            </w:r>
            <w:r>
              <w:rPr>
                <w:noProof/>
                <w:webHidden/>
              </w:rPr>
              <w:tab/>
            </w:r>
            <w:r>
              <w:rPr>
                <w:noProof/>
                <w:webHidden/>
              </w:rPr>
              <w:fldChar w:fldCharType="begin"/>
            </w:r>
            <w:r>
              <w:rPr>
                <w:noProof/>
                <w:webHidden/>
              </w:rPr>
              <w:instrText xml:space="preserve"> PAGEREF _Toc441923562 \h </w:instrText>
            </w:r>
            <w:r>
              <w:rPr>
                <w:noProof/>
                <w:webHidden/>
              </w:rPr>
            </w:r>
            <w:r>
              <w:rPr>
                <w:noProof/>
                <w:webHidden/>
              </w:rPr>
              <w:fldChar w:fldCharType="separate"/>
            </w:r>
            <w:r>
              <w:rPr>
                <w:noProof/>
                <w:webHidden/>
              </w:rPr>
              <w:t>13</w:t>
            </w:r>
            <w:r>
              <w:rPr>
                <w:noProof/>
                <w:webHidden/>
              </w:rPr>
              <w:fldChar w:fldCharType="end"/>
            </w:r>
          </w:hyperlink>
        </w:p>
        <w:p w:rsidR="00FB6808" w:rsidRDefault="00FB6808">
          <w:pPr>
            <w:pStyle w:val="TOC1"/>
            <w:rPr>
              <w:rFonts w:asciiTheme="minorHAnsi" w:eastAsiaTheme="minorEastAsia" w:hAnsiTheme="minorHAnsi"/>
              <w:b w:val="0"/>
              <w:caps w:val="0"/>
              <w:color w:val="auto"/>
              <w:sz w:val="22"/>
              <w:szCs w:val="22"/>
            </w:rPr>
          </w:pPr>
          <w:hyperlink w:anchor="_Toc441923563" w:history="1">
            <w:r w:rsidRPr="00C47962">
              <w:rPr>
                <w:rStyle w:val="Hyperlink"/>
              </w:rPr>
              <w:t>Data</w:t>
            </w:r>
            <w:r>
              <w:rPr>
                <w:webHidden/>
              </w:rPr>
              <w:tab/>
            </w:r>
            <w:r>
              <w:rPr>
                <w:webHidden/>
              </w:rPr>
              <w:fldChar w:fldCharType="begin"/>
            </w:r>
            <w:r>
              <w:rPr>
                <w:webHidden/>
              </w:rPr>
              <w:instrText xml:space="preserve"> PAGEREF _Toc441923563 \h </w:instrText>
            </w:r>
            <w:r>
              <w:rPr>
                <w:webHidden/>
              </w:rPr>
            </w:r>
            <w:r>
              <w:rPr>
                <w:webHidden/>
              </w:rPr>
              <w:fldChar w:fldCharType="separate"/>
            </w:r>
            <w:r>
              <w:rPr>
                <w:webHidden/>
              </w:rPr>
              <w:t>14</w:t>
            </w:r>
            <w:r>
              <w:rPr>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64" w:history="1">
            <w:r w:rsidRPr="00C47962">
              <w:rPr>
                <w:rStyle w:val="Hyperlink"/>
                <w:noProof/>
              </w:rPr>
              <w:t>Age discrimination enquiry data</w:t>
            </w:r>
            <w:r>
              <w:rPr>
                <w:noProof/>
                <w:webHidden/>
              </w:rPr>
              <w:tab/>
            </w:r>
            <w:r>
              <w:rPr>
                <w:noProof/>
                <w:webHidden/>
              </w:rPr>
              <w:fldChar w:fldCharType="begin"/>
            </w:r>
            <w:r>
              <w:rPr>
                <w:noProof/>
                <w:webHidden/>
              </w:rPr>
              <w:instrText xml:space="preserve"> PAGEREF _Toc441923564 \h </w:instrText>
            </w:r>
            <w:r>
              <w:rPr>
                <w:noProof/>
                <w:webHidden/>
              </w:rPr>
            </w:r>
            <w:r>
              <w:rPr>
                <w:noProof/>
                <w:webHidden/>
              </w:rPr>
              <w:fldChar w:fldCharType="separate"/>
            </w:r>
            <w:r>
              <w:rPr>
                <w:noProof/>
                <w:webHidden/>
              </w:rPr>
              <w:t>14</w:t>
            </w:r>
            <w:r>
              <w:rPr>
                <w:noProof/>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65" w:history="1">
            <w:r w:rsidRPr="00C47962">
              <w:rPr>
                <w:rStyle w:val="Hyperlink"/>
                <w:noProof/>
              </w:rPr>
              <w:t>Age discrimination complaint data</w:t>
            </w:r>
            <w:r>
              <w:rPr>
                <w:noProof/>
                <w:webHidden/>
              </w:rPr>
              <w:tab/>
            </w:r>
            <w:r>
              <w:rPr>
                <w:noProof/>
                <w:webHidden/>
              </w:rPr>
              <w:fldChar w:fldCharType="begin"/>
            </w:r>
            <w:r>
              <w:rPr>
                <w:noProof/>
                <w:webHidden/>
              </w:rPr>
              <w:instrText xml:space="preserve"> PAGEREF _Toc441923565 \h </w:instrText>
            </w:r>
            <w:r>
              <w:rPr>
                <w:noProof/>
                <w:webHidden/>
              </w:rPr>
            </w:r>
            <w:r>
              <w:rPr>
                <w:noProof/>
                <w:webHidden/>
              </w:rPr>
              <w:fldChar w:fldCharType="separate"/>
            </w:r>
            <w:r>
              <w:rPr>
                <w:noProof/>
                <w:webHidden/>
              </w:rPr>
              <w:t>15</w:t>
            </w:r>
            <w:r>
              <w:rPr>
                <w:noProof/>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66" w:history="1">
            <w:r w:rsidRPr="00C47962">
              <w:rPr>
                <w:rStyle w:val="Hyperlink"/>
                <w:noProof/>
              </w:rPr>
              <w:t>Complainant demographics</w:t>
            </w:r>
            <w:r>
              <w:rPr>
                <w:noProof/>
                <w:webHidden/>
              </w:rPr>
              <w:tab/>
            </w:r>
            <w:r>
              <w:rPr>
                <w:noProof/>
                <w:webHidden/>
              </w:rPr>
              <w:fldChar w:fldCharType="begin"/>
            </w:r>
            <w:r>
              <w:rPr>
                <w:noProof/>
                <w:webHidden/>
              </w:rPr>
              <w:instrText xml:space="preserve"> PAGEREF _Toc441923566 \h </w:instrText>
            </w:r>
            <w:r>
              <w:rPr>
                <w:noProof/>
                <w:webHidden/>
              </w:rPr>
            </w:r>
            <w:r>
              <w:rPr>
                <w:noProof/>
                <w:webHidden/>
              </w:rPr>
              <w:fldChar w:fldCharType="separate"/>
            </w:r>
            <w:r>
              <w:rPr>
                <w:noProof/>
                <w:webHidden/>
              </w:rPr>
              <w:t>17</w:t>
            </w:r>
            <w:r>
              <w:rPr>
                <w:noProof/>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67" w:history="1">
            <w:r w:rsidRPr="00C47962">
              <w:rPr>
                <w:rStyle w:val="Hyperlink"/>
                <w:noProof/>
              </w:rPr>
              <w:t>Respondent demographics</w:t>
            </w:r>
            <w:r>
              <w:rPr>
                <w:noProof/>
                <w:webHidden/>
              </w:rPr>
              <w:tab/>
            </w:r>
            <w:r>
              <w:rPr>
                <w:noProof/>
                <w:webHidden/>
              </w:rPr>
              <w:fldChar w:fldCharType="begin"/>
            </w:r>
            <w:r>
              <w:rPr>
                <w:noProof/>
                <w:webHidden/>
              </w:rPr>
              <w:instrText xml:space="preserve"> PAGEREF _Toc441923567 \h </w:instrText>
            </w:r>
            <w:r>
              <w:rPr>
                <w:noProof/>
                <w:webHidden/>
              </w:rPr>
            </w:r>
            <w:r>
              <w:rPr>
                <w:noProof/>
                <w:webHidden/>
              </w:rPr>
              <w:fldChar w:fldCharType="separate"/>
            </w:r>
            <w:r>
              <w:rPr>
                <w:noProof/>
                <w:webHidden/>
              </w:rPr>
              <w:t>19</w:t>
            </w:r>
            <w:r>
              <w:rPr>
                <w:noProof/>
                <w:webHidden/>
              </w:rPr>
              <w:fldChar w:fldCharType="end"/>
            </w:r>
          </w:hyperlink>
        </w:p>
        <w:p w:rsidR="00FB6808" w:rsidRDefault="00FB6808">
          <w:pPr>
            <w:pStyle w:val="TOC1"/>
            <w:rPr>
              <w:rFonts w:asciiTheme="minorHAnsi" w:eastAsiaTheme="minorEastAsia" w:hAnsiTheme="minorHAnsi"/>
              <w:b w:val="0"/>
              <w:caps w:val="0"/>
              <w:color w:val="auto"/>
              <w:sz w:val="22"/>
              <w:szCs w:val="22"/>
            </w:rPr>
          </w:pPr>
          <w:hyperlink w:anchor="_Toc441923568" w:history="1">
            <w:r w:rsidRPr="00C47962">
              <w:rPr>
                <w:rStyle w:val="Hyperlink"/>
              </w:rPr>
              <w:t>International best practice</w:t>
            </w:r>
            <w:r>
              <w:rPr>
                <w:webHidden/>
              </w:rPr>
              <w:tab/>
            </w:r>
            <w:r>
              <w:rPr>
                <w:webHidden/>
              </w:rPr>
              <w:fldChar w:fldCharType="begin"/>
            </w:r>
            <w:r>
              <w:rPr>
                <w:webHidden/>
              </w:rPr>
              <w:instrText xml:space="preserve"> PAGEREF _Toc441923568 \h </w:instrText>
            </w:r>
            <w:r>
              <w:rPr>
                <w:webHidden/>
              </w:rPr>
            </w:r>
            <w:r>
              <w:rPr>
                <w:webHidden/>
              </w:rPr>
              <w:fldChar w:fldCharType="separate"/>
            </w:r>
            <w:r>
              <w:rPr>
                <w:webHidden/>
              </w:rPr>
              <w:t>22</w:t>
            </w:r>
            <w:r>
              <w:rPr>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69" w:history="1">
            <w:r w:rsidRPr="00C47962">
              <w:rPr>
                <w:rStyle w:val="Hyperlink"/>
                <w:noProof/>
              </w:rPr>
              <w:t>Positive ageing: the European experience</w:t>
            </w:r>
            <w:r>
              <w:rPr>
                <w:noProof/>
                <w:webHidden/>
              </w:rPr>
              <w:tab/>
            </w:r>
            <w:r>
              <w:rPr>
                <w:noProof/>
                <w:webHidden/>
              </w:rPr>
              <w:fldChar w:fldCharType="begin"/>
            </w:r>
            <w:r>
              <w:rPr>
                <w:noProof/>
                <w:webHidden/>
              </w:rPr>
              <w:instrText xml:space="preserve"> PAGEREF _Toc441923569 \h </w:instrText>
            </w:r>
            <w:r>
              <w:rPr>
                <w:noProof/>
                <w:webHidden/>
              </w:rPr>
            </w:r>
            <w:r>
              <w:rPr>
                <w:noProof/>
                <w:webHidden/>
              </w:rPr>
              <w:fldChar w:fldCharType="separate"/>
            </w:r>
            <w:r>
              <w:rPr>
                <w:noProof/>
                <w:webHidden/>
              </w:rPr>
              <w:t>22</w:t>
            </w:r>
            <w:r>
              <w:rPr>
                <w:noProof/>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70" w:history="1">
            <w:r w:rsidRPr="00C47962">
              <w:rPr>
                <w:rStyle w:val="Hyperlink"/>
                <w:noProof/>
              </w:rPr>
              <w:t>Applying the lessons to Australia</w:t>
            </w:r>
            <w:r>
              <w:rPr>
                <w:noProof/>
                <w:webHidden/>
              </w:rPr>
              <w:tab/>
            </w:r>
            <w:r>
              <w:rPr>
                <w:noProof/>
                <w:webHidden/>
              </w:rPr>
              <w:fldChar w:fldCharType="begin"/>
            </w:r>
            <w:r>
              <w:rPr>
                <w:noProof/>
                <w:webHidden/>
              </w:rPr>
              <w:instrText xml:space="preserve"> PAGEREF _Toc441923570 \h </w:instrText>
            </w:r>
            <w:r>
              <w:rPr>
                <w:noProof/>
                <w:webHidden/>
              </w:rPr>
            </w:r>
            <w:r>
              <w:rPr>
                <w:noProof/>
                <w:webHidden/>
              </w:rPr>
              <w:fldChar w:fldCharType="separate"/>
            </w:r>
            <w:r>
              <w:rPr>
                <w:noProof/>
                <w:webHidden/>
              </w:rPr>
              <w:t>23</w:t>
            </w:r>
            <w:r>
              <w:rPr>
                <w:noProof/>
                <w:webHidden/>
              </w:rPr>
              <w:fldChar w:fldCharType="end"/>
            </w:r>
          </w:hyperlink>
        </w:p>
        <w:p w:rsidR="00FB6808" w:rsidRDefault="00FB6808">
          <w:pPr>
            <w:pStyle w:val="TOC1"/>
            <w:rPr>
              <w:rFonts w:asciiTheme="minorHAnsi" w:eastAsiaTheme="minorEastAsia" w:hAnsiTheme="minorHAnsi"/>
              <w:b w:val="0"/>
              <w:caps w:val="0"/>
              <w:color w:val="auto"/>
              <w:sz w:val="22"/>
              <w:szCs w:val="22"/>
            </w:rPr>
          </w:pPr>
          <w:hyperlink w:anchor="_Toc441923571" w:history="1">
            <w:r w:rsidRPr="00C47962">
              <w:rPr>
                <w:rStyle w:val="Hyperlink"/>
              </w:rPr>
              <w:t>Legal and Policy Framework</w:t>
            </w:r>
            <w:r>
              <w:rPr>
                <w:webHidden/>
              </w:rPr>
              <w:tab/>
            </w:r>
            <w:r>
              <w:rPr>
                <w:webHidden/>
              </w:rPr>
              <w:fldChar w:fldCharType="begin"/>
            </w:r>
            <w:r>
              <w:rPr>
                <w:webHidden/>
              </w:rPr>
              <w:instrText xml:space="preserve"> PAGEREF _Toc441923571 \h </w:instrText>
            </w:r>
            <w:r>
              <w:rPr>
                <w:webHidden/>
              </w:rPr>
            </w:r>
            <w:r>
              <w:rPr>
                <w:webHidden/>
              </w:rPr>
              <w:fldChar w:fldCharType="separate"/>
            </w:r>
            <w:r>
              <w:rPr>
                <w:webHidden/>
              </w:rPr>
              <w:t>24</w:t>
            </w:r>
            <w:r>
              <w:rPr>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72" w:history="1">
            <w:r w:rsidRPr="00C47962">
              <w:rPr>
                <w:rStyle w:val="Hyperlink"/>
                <w:noProof/>
              </w:rPr>
              <w:t>Age discrimination</w:t>
            </w:r>
            <w:r>
              <w:rPr>
                <w:noProof/>
                <w:webHidden/>
              </w:rPr>
              <w:tab/>
            </w:r>
            <w:r>
              <w:rPr>
                <w:noProof/>
                <w:webHidden/>
              </w:rPr>
              <w:fldChar w:fldCharType="begin"/>
            </w:r>
            <w:r>
              <w:rPr>
                <w:noProof/>
                <w:webHidden/>
              </w:rPr>
              <w:instrText xml:space="preserve"> PAGEREF _Toc441923572 \h </w:instrText>
            </w:r>
            <w:r>
              <w:rPr>
                <w:noProof/>
                <w:webHidden/>
              </w:rPr>
            </w:r>
            <w:r>
              <w:rPr>
                <w:noProof/>
                <w:webHidden/>
              </w:rPr>
              <w:fldChar w:fldCharType="separate"/>
            </w:r>
            <w:r>
              <w:rPr>
                <w:noProof/>
                <w:webHidden/>
              </w:rPr>
              <w:t>24</w:t>
            </w:r>
            <w:r>
              <w:rPr>
                <w:noProof/>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73" w:history="1">
            <w:r w:rsidRPr="00C47962">
              <w:rPr>
                <w:rStyle w:val="Hyperlink"/>
                <w:i/>
                <w:noProof/>
              </w:rPr>
              <w:t>Fair Work Act 2009</w:t>
            </w:r>
            <w:r>
              <w:rPr>
                <w:noProof/>
                <w:webHidden/>
              </w:rPr>
              <w:tab/>
            </w:r>
            <w:r>
              <w:rPr>
                <w:noProof/>
                <w:webHidden/>
              </w:rPr>
              <w:fldChar w:fldCharType="begin"/>
            </w:r>
            <w:r>
              <w:rPr>
                <w:noProof/>
                <w:webHidden/>
              </w:rPr>
              <w:instrText xml:space="preserve"> PAGEREF _Toc441923573 \h </w:instrText>
            </w:r>
            <w:r>
              <w:rPr>
                <w:noProof/>
                <w:webHidden/>
              </w:rPr>
            </w:r>
            <w:r>
              <w:rPr>
                <w:noProof/>
                <w:webHidden/>
              </w:rPr>
              <w:fldChar w:fldCharType="separate"/>
            </w:r>
            <w:r>
              <w:rPr>
                <w:noProof/>
                <w:webHidden/>
              </w:rPr>
              <w:t>25</w:t>
            </w:r>
            <w:r>
              <w:rPr>
                <w:noProof/>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74" w:history="1">
            <w:r w:rsidRPr="00C47962">
              <w:rPr>
                <w:rStyle w:val="Hyperlink"/>
                <w:noProof/>
              </w:rPr>
              <w:t>Limits of current legislation</w:t>
            </w:r>
            <w:r>
              <w:rPr>
                <w:noProof/>
                <w:webHidden/>
              </w:rPr>
              <w:tab/>
            </w:r>
            <w:r>
              <w:rPr>
                <w:noProof/>
                <w:webHidden/>
              </w:rPr>
              <w:fldChar w:fldCharType="begin"/>
            </w:r>
            <w:r>
              <w:rPr>
                <w:noProof/>
                <w:webHidden/>
              </w:rPr>
              <w:instrText xml:space="preserve"> PAGEREF _Toc441923574 \h </w:instrText>
            </w:r>
            <w:r>
              <w:rPr>
                <w:noProof/>
                <w:webHidden/>
              </w:rPr>
            </w:r>
            <w:r>
              <w:rPr>
                <w:noProof/>
                <w:webHidden/>
              </w:rPr>
              <w:fldChar w:fldCharType="separate"/>
            </w:r>
            <w:r>
              <w:rPr>
                <w:noProof/>
                <w:webHidden/>
              </w:rPr>
              <w:t>25</w:t>
            </w:r>
            <w:r>
              <w:rPr>
                <w:noProof/>
                <w:webHidden/>
              </w:rPr>
              <w:fldChar w:fldCharType="end"/>
            </w:r>
          </w:hyperlink>
        </w:p>
        <w:p w:rsidR="00FB6808" w:rsidRDefault="00FB6808">
          <w:pPr>
            <w:pStyle w:val="TOC2"/>
            <w:rPr>
              <w:rFonts w:asciiTheme="minorHAnsi" w:eastAsiaTheme="minorEastAsia" w:hAnsiTheme="minorHAnsi"/>
              <w:bCs w:val="0"/>
              <w:noProof/>
              <w:color w:val="auto"/>
            </w:rPr>
          </w:pPr>
          <w:hyperlink w:anchor="_Toc441923575" w:history="1">
            <w:r w:rsidRPr="00C47962">
              <w:rPr>
                <w:rStyle w:val="Hyperlink"/>
                <w:noProof/>
              </w:rPr>
              <w:t>Beyond legislation</w:t>
            </w:r>
            <w:r>
              <w:rPr>
                <w:noProof/>
                <w:webHidden/>
              </w:rPr>
              <w:tab/>
            </w:r>
            <w:r>
              <w:rPr>
                <w:noProof/>
                <w:webHidden/>
              </w:rPr>
              <w:fldChar w:fldCharType="begin"/>
            </w:r>
            <w:r>
              <w:rPr>
                <w:noProof/>
                <w:webHidden/>
              </w:rPr>
              <w:instrText xml:space="preserve"> PAGEREF _Toc441923575 \h </w:instrText>
            </w:r>
            <w:r>
              <w:rPr>
                <w:noProof/>
                <w:webHidden/>
              </w:rPr>
            </w:r>
            <w:r>
              <w:rPr>
                <w:noProof/>
                <w:webHidden/>
              </w:rPr>
              <w:fldChar w:fldCharType="separate"/>
            </w:r>
            <w:r>
              <w:rPr>
                <w:noProof/>
                <w:webHidden/>
              </w:rPr>
              <w:t>26</w:t>
            </w:r>
            <w:r>
              <w:rPr>
                <w:noProof/>
                <w:webHidden/>
              </w:rPr>
              <w:fldChar w:fldCharType="end"/>
            </w:r>
          </w:hyperlink>
        </w:p>
        <w:p w:rsidR="00FB6808" w:rsidRDefault="00FB6808">
          <w:pPr>
            <w:pStyle w:val="TOC1"/>
            <w:rPr>
              <w:rFonts w:asciiTheme="minorHAnsi" w:eastAsiaTheme="minorEastAsia" w:hAnsiTheme="minorHAnsi"/>
              <w:b w:val="0"/>
              <w:caps w:val="0"/>
              <w:color w:val="auto"/>
              <w:sz w:val="22"/>
              <w:szCs w:val="22"/>
            </w:rPr>
          </w:pPr>
          <w:hyperlink w:anchor="_Toc441923576" w:history="1">
            <w:r w:rsidRPr="00C47962">
              <w:rPr>
                <w:rStyle w:val="Hyperlink"/>
              </w:rPr>
              <w:t>Barriers to employment</w:t>
            </w:r>
            <w:r>
              <w:rPr>
                <w:webHidden/>
              </w:rPr>
              <w:tab/>
            </w:r>
            <w:r>
              <w:rPr>
                <w:webHidden/>
              </w:rPr>
              <w:fldChar w:fldCharType="begin"/>
            </w:r>
            <w:r>
              <w:rPr>
                <w:webHidden/>
              </w:rPr>
              <w:instrText xml:space="preserve"> PAGEREF _Toc441923576 \h </w:instrText>
            </w:r>
            <w:r>
              <w:rPr>
                <w:webHidden/>
              </w:rPr>
            </w:r>
            <w:r>
              <w:rPr>
                <w:webHidden/>
              </w:rPr>
              <w:fldChar w:fldCharType="separate"/>
            </w:r>
            <w:r>
              <w:rPr>
                <w:webHidden/>
              </w:rPr>
              <w:t>27</w:t>
            </w:r>
            <w:r>
              <w:rPr>
                <w:webHidden/>
              </w:rPr>
              <w:fldChar w:fldCharType="end"/>
            </w:r>
          </w:hyperlink>
        </w:p>
        <w:p w:rsidR="0092020B" w:rsidRDefault="00981E88">
          <w:r>
            <w:rPr>
              <w:rFonts w:eastAsia="MS ??"/>
              <w:bCs/>
              <w:smallCaps/>
              <w:noProof/>
              <w:sz w:val="26"/>
              <w:szCs w:val="26"/>
            </w:rPr>
            <w:fldChar w:fldCharType="end"/>
          </w:r>
        </w:p>
      </w:sdtContent>
    </w:sdt>
    <w:p w:rsidR="00C55B55" w:rsidRDefault="00C55B55"/>
    <w:p w:rsidR="009E143B" w:rsidRDefault="009F4EF9">
      <w:pPr>
        <w:sectPr w:rsidR="009E143B" w:rsidSect="00FB224D">
          <w:headerReference w:type="default" r:id="rId13"/>
          <w:footerReference w:type="default" r:id="rId14"/>
          <w:pgSz w:w="11906" w:h="16838" w:code="9"/>
          <w:pgMar w:top="2268" w:right="1321" w:bottom="278" w:left="1281" w:header="720" w:footer="720" w:gutter="0"/>
          <w:cols w:space="708"/>
          <w:docGrid w:linePitch="360"/>
        </w:sectPr>
      </w:pPr>
      <w:r>
        <w:lastRenderedPageBreak/>
        <w:br w:type="page"/>
      </w:r>
    </w:p>
    <w:p w:rsidR="009F4EF9" w:rsidRPr="004530AD" w:rsidRDefault="00AC5DD5" w:rsidP="00083B26">
      <w:pPr>
        <w:pStyle w:val="Heading1"/>
      </w:pPr>
      <w:bookmarkStart w:id="0" w:name="_Toc441923552"/>
      <w:r w:rsidRPr="004530AD">
        <w:lastRenderedPageBreak/>
        <w:t>Introduction</w:t>
      </w:r>
      <w:bookmarkEnd w:id="0"/>
    </w:p>
    <w:p w:rsidR="009F4EF9" w:rsidRDefault="00E900C3" w:rsidP="009F4EF9">
      <w:r>
        <w:t>Thank you for the opportunity to make a submission to the Australian Human Rights Commission’s inquiry in age and employment.</w:t>
      </w:r>
    </w:p>
    <w:p w:rsidR="00E900C3" w:rsidRDefault="00E900C3" w:rsidP="009F4EF9">
      <w:r>
        <w:t>The following provides information on the situation within Tasmania and includes a summary of complaints received by me in relation to this issue.</w:t>
      </w:r>
    </w:p>
    <w:p w:rsidR="00E900C3" w:rsidRDefault="00E900C3" w:rsidP="009F4EF9">
      <w:r>
        <w:t>I would be happy to elaborate on these issues should you wish me to do so.</w:t>
      </w:r>
    </w:p>
    <w:p w:rsidR="000C4A13" w:rsidRDefault="000C4A13" w:rsidP="00A35B09">
      <w:pPr>
        <w:pStyle w:val="Name"/>
      </w:pPr>
      <w:r>
        <w:t>Robin Banks</w:t>
      </w:r>
    </w:p>
    <w:p w:rsidR="00E900C3" w:rsidRDefault="000C4A13" w:rsidP="00A35B09">
      <w:pPr>
        <w:pStyle w:val="JobTitle"/>
      </w:pPr>
      <w:r>
        <w:t>Anti-Discrimination Commissioner (Tas)</w:t>
      </w:r>
    </w:p>
    <w:p w:rsidR="00AC5DD5" w:rsidRPr="004530AD" w:rsidRDefault="00AC5DD5" w:rsidP="00083B26">
      <w:pPr>
        <w:pStyle w:val="Heading1"/>
      </w:pPr>
      <w:bookmarkStart w:id="1" w:name="_Toc441923553"/>
      <w:r w:rsidRPr="004530AD">
        <w:lastRenderedPageBreak/>
        <w:t>Background</w:t>
      </w:r>
      <w:bookmarkEnd w:id="1"/>
    </w:p>
    <w:p w:rsidR="004530AD" w:rsidRPr="004530AD" w:rsidRDefault="004530AD" w:rsidP="006B5926">
      <w:pPr>
        <w:pStyle w:val="Heading2"/>
      </w:pPr>
      <w:bookmarkStart w:id="2" w:name="_Toc438031657"/>
      <w:bookmarkStart w:id="3" w:name="_Toc441745666"/>
      <w:bookmarkStart w:id="4" w:name="_Toc441923554"/>
      <w:r w:rsidRPr="004530AD">
        <w:t>The Tasmanian situation</w:t>
      </w:r>
      <w:bookmarkEnd w:id="2"/>
      <w:bookmarkEnd w:id="3"/>
      <w:bookmarkEnd w:id="4"/>
    </w:p>
    <w:p w:rsidR="006A16DC" w:rsidRDefault="00E900C3" w:rsidP="00E900C3">
      <w:r>
        <w:t>Tasmania’s population is the oldest of all states and territories and is also ageing at the fastest rate</w:t>
      </w:r>
      <w:proofErr w:type="gramStart"/>
      <w:r>
        <w:t xml:space="preserve">. </w:t>
      </w:r>
      <w:proofErr w:type="gramEnd"/>
      <w:r>
        <w:t>As of 2012, Tasmania had the largest proportional share of people aged 65 years and over. In addition, the number of people aged 85 yea</w:t>
      </w:r>
      <w:r w:rsidR="000C4A13">
        <w:t>rs and over is growing rapidly.</w:t>
      </w:r>
      <w:bookmarkStart w:id="5" w:name="_Ref441934153"/>
      <w:r w:rsidR="000C4A13">
        <w:rPr>
          <w:rStyle w:val="FootnoteReference"/>
        </w:rPr>
        <w:footnoteReference w:id="1"/>
      </w:r>
      <w:bookmarkEnd w:id="5"/>
    </w:p>
    <w:p w:rsidR="00937E8E" w:rsidRDefault="00937E8E" w:rsidP="00E900C3">
      <w:r>
        <w:t xml:space="preserve">It is estimated that by </w:t>
      </w:r>
      <w:r w:rsidR="00C3105E">
        <w:t xml:space="preserve">the </w:t>
      </w:r>
      <w:proofErr w:type="gramStart"/>
      <w:r w:rsidR="00C3105E">
        <w:t>year</w:t>
      </w:r>
      <w:proofErr w:type="gramEnd"/>
      <w:r w:rsidR="00C3105E">
        <w:t xml:space="preserve"> </w:t>
      </w:r>
      <w:r>
        <w:t xml:space="preserve">2030 one in four Tasmanians </w:t>
      </w:r>
      <w:r w:rsidR="004762AA">
        <w:t>will be aged 65-plus and by 2042 almost one-third of our population will be aged 65 years or older.</w:t>
      </w:r>
      <w:r w:rsidR="004762AA">
        <w:rPr>
          <w:rStyle w:val="FootnoteReference"/>
        </w:rPr>
        <w:footnoteReference w:id="2"/>
      </w:r>
    </w:p>
    <w:p w:rsidR="002C36BE" w:rsidRDefault="002C36BE" w:rsidP="002C36BE">
      <w:r>
        <w:t>Importantly, data shows labour force participation rates in Ta</w:t>
      </w:r>
      <w:r w:rsidR="00C3105E">
        <w:t>smania sharply decline after 55 </w:t>
      </w:r>
      <w:r>
        <w:t xml:space="preserve">years of age and remain lower than </w:t>
      </w:r>
      <w:r w:rsidR="00C3105E">
        <w:t>nationally</w:t>
      </w:r>
      <w:r>
        <w:t xml:space="preserve"> </w:t>
      </w:r>
      <w:r w:rsidR="00C3105E">
        <w:t>for all age groups over 45 </w:t>
      </w:r>
      <w:r>
        <w:t>years.</w:t>
      </w:r>
      <w:bookmarkStart w:id="6" w:name="_Ref441923417"/>
      <w:r>
        <w:rPr>
          <w:rStyle w:val="FootnoteReference"/>
        </w:rPr>
        <w:footnoteReference w:id="3"/>
      </w:r>
      <w:bookmarkEnd w:id="6"/>
    </w:p>
    <w:p w:rsidR="0050478E" w:rsidRDefault="0050478E" w:rsidP="0050478E">
      <w:r>
        <w:t xml:space="preserve">Whilst declines in workforce participation for older Tasmanians are, in part, reflective of the number of people </w:t>
      </w:r>
      <w:r w:rsidR="00C3105E">
        <w:t>wanting</w:t>
      </w:r>
      <w:r>
        <w:t xml:space="preserve"> to permanently exit the workforce once they reach an age at which they can access other income streams such as superannuation, </w:t>
      </w:r>
      <w:proofErr w:type="gramStart"/>
      <w:r>
        <w:t>there are also many who</w:t>
      </w:r>
      <w:proofErr w:type="gramEnd"/>
      <w:r>
        <w:t xml:space="preserve"> remain outside of the workforce because of difficulties in finding work</w:t>
      </w:r>
      <w:r w:rsidR="00C3105E">
        <w:t xml:space="preserve"> or retaining work</w:t>
      </w:r>
      <w:r>
        <w:t>.</w:t>
      </w:r>
    </w:p>
    <w:p w:rsidR="00472D22" w:rsidRDefault="00472D22" w:rsidP="00472D22">
      <w:r>
        <w:t xml:space="preserve">It is clear that older </w:t>
      </w:r>
      <w:r w:rsidR="002C36BE">
        <w:t xml:space="preserve">Tasmanians </w:t>
      </w:r>
      <w:r>
        <w:t xml:space="preserve">experience </w:t>
      </w:r>
      <w:r w:rsidR="00C3105E">
        <w:t>high</w:t>
      </w:r>
      <w:r>
        <w:t xml:space="preserve"> rates of discrimination in employment, including being turned down for positions</w:t>
      </w:r>
      <w:r w:rsidR="00C3105E">
        <w:t>,</w:t>
      </w:r>
      <w:r>
        <w:t xml:space="preserve"> </w:t>
      </w:r>
      <w:proofErr w:type="gramStart"/>
      <w:r>
        <w:t>on the basis of</w:t>
      </w:r>
      <w:proofErr w:type="gramEnd"/>
      <w:r>
        <w:t xml:space="preserve"> </w:t>
      </w:r>
      <w:r w:rsidR="002C36BE">
        <w:t xml:space="preserve">their </w:t>
      </w:r>
      <w:r>
        <w:t xml:space="preserve">age. </w:t>
      </w:r>
    </w:p>
    <w:p w:rsidR="002C36BE" w:rsidRDefault="002C36BE" w:rsidP="002C36BE">
      <w:r>
        <w:t>Addressing the low workforce participation rates of older Tasmanians will become increasing</w:t>
      </w:r>
      <w:r w:rsidR="00231ECF">
        <w:t>ly important as changes to the A</w:t>
      </w:r>
      <w:r>
        <w:t xml:space="preserve">ge </w:t>
      </w:r>
      <w:r w:rsidR="00231ECF">
        <w:t>P</w:t>
      </w:r>
      <w:r>
        <w:t xml:space="preserve">ension qualifying age are introduced </w:t>
      </w:r>
      <w:r w:rsidR="00231ECF">
        <w:t>because</w:t>
      </w:r>
      <w:r>
        <w:t xml:space="preserve"> those changes will have a disproportionate impact on people within </w:t>
      </w:r>
      <w:r w:rsidR="00231ECF">
        <w:t>Tasmania</w:t>
      </w:r>
      <w:r>
        <w:t>.</w:t>
      </w:r>
      <w:r w:rsidR="00231ECF">
        <w:rPr>
          <w:rStyle w:val="FootnoteReference"/>
        </w:rPr>
        <w:footnoteReference w:id="4"/>
      </w:r>
      <w:r>
        <w:t xml:space="preserve"> </w:t>
      </w:r>
    </w:p>
    <w:p w:rsidR="002C36BE" w:rsidRDefault="002C36BE" w:rsidP="002C36BE">
      <w:r>
        <w:t xml:space="preserve">The risk of poor attachment to the workforce as Tasmanians age </w:t>
      </w:r>
      <w:r w:rsidR="00D7790B">
        <w:t>includes</w:t>
      </w:r>
      <w:r>
        <w:t xml:space="preserve"> increased rates of poverty and financial hardship</w:t>
      </w:r>
      <w:proofErr w:type="gramStart"/>
      <w:r>
        <w:t xml:space="preserve">. </w:t>
      </w:r>
      <w:proofErr w:type="gramEnd"/>
      <w:r>
        <w:t>Data sourced from the 2011 census indicated approxim</w:t>
      </w:r>
      <w:r w:rsidR="00D7790B">
        <w:t>ately 64% of Tasmanians aged 65+</w:t>
      </w:r>
      <w:r>
        <w:t xml:space="preserve"> live under the poverty line of $400 per week</w:t>
      </w:r>
      <w:proofErr w:type="gramStart"/>
      <w:r>
        <w:t xml:space="preserve">. </w:t>
      </w:r>
      <w:proofErr w:type="gramEnd"/>
      <w:r>
        <w:t>This compares with approximately 30% of all Tasmanians who live on or below the poverty line.</w:t>
      </w:r>
      <w:r>
        <w:rPr>
          <w:rStyle w:val="FootnoteReference"/>
        </w:rPr>
        <w:footnoteReference w:id="5"/>
      </w:r>
      <w:proofErr w:type="gramStart"/>
      <w:r>
        <w:t xml:space="preserve"> </w:t>
      </w:r>
      <w:proofErr w:type="gramEnd"/>
      <w:r>
        <w:t xml:space="preserve">At the same time, Tasmania has a disproportionately high number of older people living in households reliant on </w:t>
      </w:r>
      <w:r>
        <w:lastRenderedPageBreak/>
        <w:t>government pensions as their main source of in</w:t>
      </w:r>
      <w:r w:rsidR="00D7790B">
        <w:t>come (21% of Tasmanians aged 55–</w:t>
      </w:r>
      <w:r>
        <w:t>64 y</w:t>
      </w:r>
      <w:r w:rsidR="00D7790B">
        <w:t>ears; 66% of Tasmanians aged 65–</w:t>
      </w:r>
      <w:r>
        <w:t>74 years; and 81% of Tasmanians aged 75+ years).</w:t>
      </w:r>
      <w:r>
        <w:rPr>
          <w:rStyle w:val="FootnoteReference"/>
        </w:rPr>
        <w:footnoteReference w:id="6"/>
      </w:r>
      <w:r>
        <w:t xml:space="preserve"> </w:t>
      </w:r>
    </w:p>
    <w:p w:rsidR="002C36BE" w:rsidRDefault="00D7790B" w:rsidP="002C36BE">
      <w:r>
        <w:t>While</w:t>
      </w:r>
      <w:r w:rsidR="002C36BE">
        <w:t xml:space="preserve"> the rationale for changing the eligibilit</w:t>
      </w:r>
      <w:r>
        <w:t>y criteria for the A</w:t>
      </w:r>
      <w:r w:rsidR="002C36BE">
        <w:t xml:space="preserve">ge </w:t>
      </w:r>
      <w:r>
        <w:t>P</w:t>
      </w:r>
      <w:r w:rsidR="002C36BE">
        <w:t>ension relates principally to increases in life expectancy, unless barriers to employment (including age discrimination) are addressed, many people beyond their mid-fifties will find it difficult to retain or gain employment and will be reduced to living off lower levels of income support.</w:t>
      </w:r>
    </w:p>
    <w:p w:rsidR="00B83B1B" w:rsidRDefault="00B83B1B" w:rsidP="00B83B1B">
      <w:r>
        <w:t xml:space="preserve">It is critical, therefore, that factors preventing older Tasmanians remaining in the workforce are addressed. </w:t>
      </w:r>
    </w:p>
    <w:p w:rsidR="00B83B1B" w:rsidRDefault="00B83B1B" w:rsidP="002C36BE">
      <w:r>
        <w:t>Barriers include reduced access to training or other opportunities to develop new skills where a change of industry or work is required; discrimination in recruitment processes and attitudes of employers; and structural barriers such as access to worker</w:t>
      </w:r>
      <w:r w:rsidR="00CB5077">
        <w:t>’</w:t>
      </w:r>
      <w:r>
        <w:t>s compensation insurance or income protection insurance.</w:t>
      </w:r>
    </w:p>
    <w:p w:rsidR="002C36BE" w:rsidRDefault="002C36BE" w:rsidP="006B5926">
      <w:pPr>
        <w:pStyle w:val="Heading2"/>
      </w:pPr>
      <w:bookmarkStart w:id="7" w:name="_Toc441923555"/>
      <w:r>
        <w:t>Inclusive Ageing Strategy</w:t>
      </w:r>
      <w:bookmarkEnd w:id="7"/>
    </w:p>
    <w:p w:rsidR="002C36BE" w:rsidRDefault="002C36BE" w:rsidP="002C36BE">
      <w:r>
        <w:t>To assist in addressing issues arising from the ageing of the Tasm</w:t>
      </w:r>
      <w:r w:rsidR="002C5C4B">
        <w:t>anian population the Tasmanian G</w:t>
      </w:r>
      <w:r>
        <w:t xml:space="preserve">overnment has developed a comprehensive baseline profile of older Tasmanians. </w:t>
      </w:r>
    </w:p>
    <w:p w:rsidR="002C36BE" w:rsidRDefault="002C36BE" w:rsidP="002C36BE">
      <w:r w:rsidRPr="00CD345C">
        <w:rPr>
          <w:i/>
        </w:rPr>
        <w:t>Facing the Future</w:t>
      </w:r>
      <w:r>
        <w:t xml:space="preserve"> provides data regarding the position of older Tasmanians, including information regarding access to employment.</w:t>
      </w:r>
      <w:r>
        <w:rPr>
          <w:rStyle w:val="FootnoteReference"/>
        </w:rPr>
        <w:footnoteReference w:id="7"/>
      </w:r>
      <w:r>
        <w:t xml:space="preserve"> </w:t>
      </w:r>
    </w:p>
    <w:p w:rsidR="002C36BE" w:rsidRDefault="002C36BE" w:rsidP="002C36BE">
      <w:r>
        <w:t>The information provide</w:t>
      </w:r>
      <w:r w:rsidR="002C5C4B">
        <w:t>d</w:t>
      </w:r>
      <w:r>
        <w:t xml:space="preserve"> an important underpinning for the Tasmanian Government’s </w:t>
      </w:r>
      <w:r w:rsidR="002C5C4B">
        <w:rPr>
          <w:i/>
        </w:rPr>
        <w:t>Inclusive Ageing: Tasmania 2012–</w:t>
      </w:r>
      <w:r w:rsidRPr="0045037A">
        <w:rPr>
          <w:i/>
        </w:rPr>
        <w:t xml:space="preserve">2014 Strategy </w:t>
      </w:r>
      <w:r>
        <w:t>released in August 2012</w:t>
      </w:r>
      <w:r w:rsidR="002C5C4B">
        <w:t>,</w:t>
      </w:r>
      <w:r>
        <w:t xml:space="preserve"> which aim</w:t>
      </w:r>
      <w:r w:rsidR="002C5C4B">
        <w:t>ed</w:t>
      </w:r>
      <w:r>
        <w:t xml:space="preserve"> to increase the capacity of older Tasmanians to be fully included in community life.</w:t>
      </w:r>
      <w:r>
        <w:rPr>
          <w:rStyle w:val="FootnoteReference"/>
        </w:rPr>
        <w:footnoteReference w:id="8"/>
      </w:r>
    </w:p>
    <w:p w:rsidR="00892B31" w:rsidRDefault="0063708C" w:rsidP="00083B26">
      <w:pPr>
        <w:pStyle w:val="Heading1"/>
      </w:pPr>
      <w:bookmarkStart w:id="8" w:name="_Toc441923556"/>
      <w:r>
        <w:lastRenderedPageBreak/>
        <w:t>Barriers to remaining in the workforce</w:t>
      </w:r>
      <w:bookmarkEnd w:id="8"/>
    </w:p>
    <w:p w:rsidR="00892B31" w:rsidRDefault="00892B31" w:rsidP="00891C8D">
      <w:pPr>
        <w:pStyle w:val="EOT-Contentssectionhead"/>
      </w:pPr>
      <w:r>
        <w:t>1.</w:t>
      </w:r>
      <w:r>
        <w:tab/>
        <w:t>What policies, workplace practices, programs or incentives assist with increasing participation of older workers? How adequate are these policies, practices and incentives? What is the role of government, peak business and employee groups, and individual employers?</w:t>
      </w:r>
    </w:p>
    <w:p w:rsidR="00892B31" w:rsidRPr="00892B31" w:rsidRDefault="00892B31" w:rsidP="00891C8D">
      <w:pPr>
        <w:pStyle w:val="EOT-Contentssectionhead"/>
      </w:pPr>
      <w:r>
        <w:t>2.</w:t>
      </w:r>
      <w:r>
        <w:tab/>
        <w:t>Are there distinct challenges faced by different sized businesses and organisations, sectors and industries in employing older workers?</w:t>
      </w:r>
    </w:p>
    <w:p w:rsidR="007E3921" w:rsidRDefault="007E3921" w:rsidP="00892B31">
      <w:r>
        <w:t xml:space="preserve">Engaging in fulfilling work that aligns with skills, experience and interests improves social connectedness and contributes towards greater economic independence for older workers. </w:t>
      </w:r>
    </w:p>
    <w:p w:rsidR="007E3921" w:rsidRDefault="007E3921" w:rsidP="00892B31">
      <w:r>
        <w:t>In practice, however, many older workers are excluded from the workforce</w:t>
      </w:r>
      <w:proofErr w:type="gramStart"/>
      <w:r>
        <w:t xml:space="preserve">. </w:t>
      </w:r>
      <w:proofErr w:type="gramEnd"/>
      <w:r>
        <w:t xml:space="preserve">This may occur </w:t>
      </w:r>
      <w:r w:rsidR="004D6FCA">
        <w:t>for</w:t>
      </w:r>
      <w:r>
        <w:t xml:space="preserve"> a range of reasons</w:t>
      </w:r>
      <w:proofErr w:type="gramStart"/>
      <w:r>
        <w:t xml:space="preserve">. </w:t>
      </w:r>
      <w:proofErr w:type="gramEnd"/>
      <w:r>
        <w:t xml:space="preserve">They may have care responsibilities or they may lack up-to-date skills and experience or be </w:t>
      </w:r>
      <w:r w:rsidR="00844E6C">
        <w:t>in</w:t>
      </w:r>
      <w:r>
        <w:t xml:space="preserve"> ill health</w:t>
      </w:r>
      <w:proofErr w:type="gramStart"/>
      <w:r>
        <w:t xml:space="preserve">. </w:t>
      </w:r>
      <w:proofErr w:type="gramEnd"/>
      <w:r w:rsidR="00B2616F">
        <w:t>At the same time, employers may not be willing to provide the sort of flexible work arrangements that many older workers need or want.</w:t>
      </w:r>
    </w:p>
    <w:p w:rsidR="004D6FCA" w:rsidRDefault="00230F8B" w:rsidP="00892B31">
      <w:r>
        <w:t xml:space="preserve">Australian Bureau of Statistics figures indicate that the age of persons exiting the workforce </w:t>
      </w:r>
      <w:r w:rsidR="004D6FCA">
        <w:t>in 2012–</w:t>
      </w:r>
      <w:r w:rsidR="00342741">
        <w:t xml:space="preserve">13 </w:t>
      </w:r>
      <w:r>
        <w:t>because they ha</w:t>
      </w:r>
      <w:r w:rsidR="00342741">
        <w:t>d</w:t>
      </w:r>
      <w:r>
        <w:t xml:space="preserve"> reached retirement age and </w:t>
      </w:r>
      <w:r w:rsidR="00342741">
        <w:t>were</w:t>
      </w:r>
      <w:r>
        <w:t xml:space="preserve"> eligible for superannuation and/or a pension (62.8 years) </w:t>
      </w:r>
      <w:r w:rsidR="00342741">
        <w:t>wa</w:t>
      </w:r>
      <w:r w:rsidR="004D6FCA">
        <w:t>s considerably older than:</w:t>
      </w:r>
    </w:p>
    <w:p w:rsidR="004D6FCA" w:rsidRDefault="00230F8B" w:rsidP="004D6FCA">
      <w:pPr>
        <w:pStyle w:val="ListParagraph"/>
        <w:numPr>
          <w:ilvl w:val="0"/>
          <w:numId w:val="43"/>
        </w:numPr>
      </w:pPr>
      <w:r>
        <w:t xml:space="preserve">those </w:t>
      </w:r>
      <w:r w:rsidR="004D6FCA">
        <w:t>who exi</w:t>
      </w:r>
      <w:r>
        <w:t>ted the workforce due to retrench</w:t>
      </w:r>
      <w:r w:rsidR="004D6FCA">
        <w:t>ment or dismissal from employment</w:t>
      </w:r>
      <w:r>
        <w:t xml:space="preserve"> or because there </w:t>
      </w:r>
      <w:r w:rsidR="00342741">
        <w:t>wa</w:t>
      </w:r>
      <w:r>
        <w:t>s no work available (57.1 years);</w:t>
      </w:r>
    </w:p>
    <w:p w:rsidR="004D6FCA" w:rsidRDefault="00230F8B" w:rsidP="004D6FCA">
      <w:pPr>
        <w:pStyle w:val="ListParagraph"/>
        <w:numPr>
          <w:ilvl w:val="0"/>
          <w:numId w:val="43"/>
        </w:numPr>
      </w:pPr>
      <w:r>
        <w:t xml:space="preserve">those ceasing employment because of lack of access to satisfactory work arrangements/part-time work (57.4 years); </w:t>
      </w:r>
    </w:p>
    <w:p w:rsidR="004D6FCA" w:rsidRDefault="00230F8B" w:rsidP="004D6FCA">
      <w:pPr>
        <w:pStyle w:val="ListParagraph"/>
        <w:numPr>
          <w:ilvl w:val="0"/>
          <w:numId w:val="43"/>
        </w:numPr>
      </w:pPr>
      <w:r>
        <w:t xml:space="preserve">those ceasing work because of the need to undertake caring responsibilities (56.8 years); and </w:t>
      </w:r>
    </w:p>
    <w:p w:rsidR="004D6FCA" w:rsidRDefault="00230F8B" w:rsidP="004D6FCA">
      <w:pPr>
        <w:pStyle w:val="ListParagraph"/>
        <w:numPr>
          <w:ilvl w:val="0"/>
          <w:numId w:val="43"/>
        </w:numPr>
      </w:pPr>
      <w:proofErr w:type="gramStart"/>
      <w:r>
        <w:t>those</w:t>
      </w:r>
      <w:proofErr w:type="gramEnd"/>
      <w:r>
        <w:t xml:space="preserve"> who le</w:t>
      </w:r>
      <w:r w:rsidR="00342741">
        <w:t>ft</w:t>
      </w:r>
      <w:r>
        <w:t xml:space="preserve"> </w:t>
      </w:r>
      <w:r w:rsidR="00342741">
        <w:t>because of</w:t>
      </w:r>
      <w:r>
        <w:t xml:space="preserve"> sickness, injury or disability (54.9 years).</w:t>
      </w:r>
      <w:r>
        <w:rPr>
          <w:rStyle w:val="FootnoteReference"/>
        </w:rPr>
        <w:footnoteReference w:id="9"/>
      </w:r>
      <w:r>
        <w:t xml:space="preserve"> </w:t>
      </w:r>
    </w:p>
    <w:p w:rsidR="00230F8B" w:rsidRDefault="00342741" w:rsidP="00892B31">
      <w:r>
        <w:t>A</w:t>
      </w:r>
      <w:r w:rsidR="00230F8B">
        <w:t xml:space="preserve">ddressing </w:t>
      </w:r>
      <w:r>
        <w:t>the</w:t>
      </w:r>
      <w:r w:rsidR="00230F8B">
        <w:t xml:space="preserve"> reasons </w:t>
      </w:r>
      <w:r w:rsidR="004D6FCA">
        <w:t>people</w:t>
      </w:r>
      <w:r w:rsidR="00230F8B">
        <w:t xml:space="preserve"> exit the workforce early </w:t>
      </w:r>
      <w:r>
        <w:t>is therefore likely to result in many older workers remaining in employment for longer periods.</w:t>
      </w:r>
    </w:p>
    <w:p w:rsidR="0063708C" w:rsidRDefault="0063708C" w:rsidP="00892B31">
      <w:r>
        <w:t>The following examines some of these issues in more detail.</w:t>
      </w:r>
    </w:p>
    <w:p w:rsidR="00231A7B" w:rsidRDefault="00231A7B" w:rsidP="006B5926">
      <w:pPr>
        <w:pStyle w:val="Heading2"/>
      </w:pPr>
      <w:bookmarkStart w:id="9" w:name="_Toc441923557"/>
      <w:r>
        <w:t>Workplace redundancy and renewal arrangements</w:t>
      </w:r>
      <w:bookmarkEnd w:id="9"/>
      <w:r>
        <w:t xml:space="preserve"> </w:t>
      </w:r>
    </w:p>
    <w:p w:rsidR="00231A7B" w:rsidRDefault="00231A7B" w:rsidP="00231A7B">
      <w:r>
        <w:t>Pressure on older workers to exit the workforce is often increased during periods of economic downturn and industry restructure.</w:t>
      </w:r>
    </w:p>
    <w:p w:rsidR="00231A7B" w:rsidRDefault="00231A7B" w:rsidP="00231A7B">
      <w:r>
        <w:t>In Tasmania, for example, the State public sector has undergone significant downsizing to achieve targeted savings.</w:t>
      </w:r>
    </w:p>
    <w:p w:rsidR="00231A7B" w:rsidRDefault="00231A7B" w:rsidP="00231A7B">
      <w:r>
        <w:lastRenderedPageBreak/>
        <w:t xml:space="preserve">As at the end of March 2015, the general </w:t>
      </w:r>
      <w:r w:rsidR="004D6FCA">
        <w:t xml:space="preserve">Tasmanian </w:t>
      </w:r>
      <w:r>
        <w:t>government full-time equivalent positions were 766 fewe</w:t>
      </w:r>
      <w:r w:rsidR="004530AD">
        <w:t>r than at the start of the 2014–</w:t>
      </w:r>
      <w:r>
        <w:t xml:space="preserve">15 financial </w:t>
      </w:r>
      <w:proofErr w:type="gramStart"/>
      <w:r>
        <w:t>year</w:t>
      </w:r>
      <w:proofErr w:type="gramEnd"/>
      <w:r>
        <w:t>.</w:t>
      </w:r>
      <w:r>
        <w:rPr>
          <w:rStyle w:val="FootnoteReference"/>
        </w:rPr>
        <w:footnoteReference w:id="10"/>
      </w:r>
      <w:r>
        <w:t xml:space="preserve"> </w:t>
      </w:r>
    </w:p>
    <w:p w:rsidR="00231A7B" w:rsidRDefault="00231A7B" w:rsidP="00231A7B">
      <w:r>
        <w:t xml:space="preserve">Whilst the reductions applied across the whole of the public sector, concern has been expressed about targeting redundancies at older workers. </w:t>
      </w:r>
    </w:p>
    <w:p w:rsidR="00231A7B" w:rsidRDefault="00231A7B" w:rsidP="00231A7B">
      <w:r>
        <w:t>The Tasmanian Government’s Workforce Renewal Incentive Program</w:t>
      </w:r>
      <w:r w:rsidR="004D6FCA">
        <w:t xml:space="preserve"> (WRIP)</w:t>
      </w:r>
      <w:r>
        <w:t>, for example, is an incentive program to encourage employees to leave the State Service to enable opportunities for agencies to re-profile and re-classify positions.</w:t>
      </w:r>
      <w:r>
        <w:rPr>
          <w:rStyle w:val="FootnoteReference"/>
        </w:rPr>
        <w:footnoteReference w:id="11"/>
      </w:r>
      <w:proofErr w:type="gramStart"/>
      <w:r>
        <w:t xml:space="preserve"> </w:t>
      </w:r>
      <w:proofErr w:type="gramEnd"/>
      <w:r>
        <w:t>The program is used explicitly to target the recruitment of young people and graduates at a lower classif</w:t>
      </w:r>
      <w:r w:rsidR="004530AD">
        <w:t>ication point. In excess of 550 </w:t>
      </w:r>
      <w:r>
        <w:t xml:space="preserve">workers exited the State government workforce between July 2014 and </w:t>
      </w:r>
      <w:r w:rsidR="004530AD">
        <w:t xml:space="preserve">30 </w:t>
      </w:r>
      <w:r>
        <w:t>March 2015 under the scheme.</w:t>
      </w:r>
    </w:p>
    <w:p w:rsidR="00231A7B" w:rsidRDefault="00231A7B" w:rsidP="00231A7B">
      <w:r>
        <w:t xml:space="preserve">Concerns have been expressed about the age and gender bias of the WRIP program, both in terms of the employees being targeted by the scheme and inconsistencies in the way in which guidelines </w:t>
      </w:r>
      <w:r w:rsidR="00B83B1B">
        <w:t>ar</w:t>
      </w:r>
      <w:r>
        <w:t xml:space="preserve">e being applied across Government </w:t>
      </w:r>
      <w:r w:rsidR="004D6FCA">
        <w:t>agencies</w:t>
      </w:r>
      <w:proofErr w:type="gramStart"/>
      <w:r>
        <w:t xml:space="preserve">. </w:t>
      </w:r>
      <w:proofErr w:type="gramEnd"/>
      <w:r>
        <w:t xml:space="preserve">In July 2015, the Tasmania’s Auditor-General announced he </w:t>
      </w:r>
      <w:r w:rsidR="004D6FCA">
        <w:t>would examine the program and my o</w:t>
      </w:r>
      <w:r>
        <w:t xml:space="preserve">ffice has offered assistance in reviewing any discriminatory impacts of the </w:t>
      </w:r>
      <w:r w:rsidR="004D6FCA">
        <w:t>program</w:t>
      </w:r>
      <w:r>
        <w:t>.</w:t>
      </w:r>
      <w:r w:rsidRPr="00C05A12">
        <w:rPr>
          <w:rStyle w:val="FootnoteReference"/>
        </w:rPr>
        <w:t xml:space="preserve"> </w:t>
      </w:r>
      <w:r>
        <w:rPr>
          <w:rStyle w:val="FootnoteReference"/>
        </w:rPr>
        <w:footnoteReference w:id="12"/>
      </w:r>
    </w:p>
    <w:p w:rsidR="00231A7B" w:rsidRDefault="00231A7B" w:rsidP="00231A7B">
      <w:r>
        <w:t>The impact of internal migration and net overseas migration aside, Tasmania is set to experience very low (and in some years negative) labour supply growth over the coming decades.</w:t>
      </w:r>
      <w:r>
        <w:rPr>
          <w:rStyle w:val="FootnoteReference"/>
        </w:rPr>
        <w:footnoteReference w:id="13"/>
      </w:r>
      <w:proofErr w:type="gramStart"/>
      <w:r>
        <w:t xml:space="preserve"> </w:t>
      </w:r>
      <w:proofErr w:type="gramEnd"/>
      <w:r>
        <w:t>Among other factors, this will lead to an ageing of the labour supply and associated decline in the avai</w:t>
      </w:r>
      <w:r w:rsidR="004D6FCA">
        <w:t>lability of younger workers (15–</w:t>
      </w:r>
      <w:r>
        <w:t>64 years)</w:t>
      </w:r>
      <w:proofErr w:type="gramStart"/>
      <w:r>
        <w:t xml:space="preserve">. </w:t>
      </w:r>
      <w:proofErr w:type="gramEnd"/>
      <w:r>
        <w:t>The impact of these changes will highlight the importance of increas</w:t>
      </w:r>
      <w:r w:rsidR="004D6FCA">
        <w:t>ing the participation of mature-</w:t>
      </w:r>
      <w:r>
        <w:t>age Tasmanians in the labour force</w:t>
      </w:r>
      <w:proofErr w:type="gramStart"/>
      <w:r>
        <w:t xml:space="preserve">. </w:t>
      </w:r>
      <w:proofErr w:type="gramEnd"/>
      <w:r>
        <w:t>Currently Tasmania is und</w:t>
      </w:r>
      <w:r w:rsidR="004D6FCA">
        <w:t>erperforming in terms of mature-</w:t>
      </w:r>
      <w:r>
        <w:t>age participation in the labour force and</w:t>
      </w:r>
      <w:r w:rsidR="004D6FCA">
        <w:t>,</w:t>
      </w:r>
      <w:r>
        <w:t xml:space="preserve"> together with the restrictions on future labour </w:t>
      </w:r>
      <w:proofErr w:type="gramStart"/>
      <w:r>
        <w:t>supply</w:t>
      </w:r>
      <w:r w:rsidR="004D6FCA">
        <w:t>,</w:t>
      </w:r>
      <w:proofErr w:type="gramEnd"/>
      <w:r>
        <w:t xml:space="preserve"> these trends highlight the importance of facilitating continued involve</w:t>
      </w:r>
      <w:r w:rsidR="004D6FCA">
        <w:t>ment in the workforce by mature-</w:t>
      </w:r>
      <w:r>
        <w:t>age people rather than increasing the rates at which they are being encouraged to leave.</w:t>
      </w:r>
      <w:r>
        <w:rPr>
          <w:rStyle w:val="FootnoteReference"/>
        </w:rPr>
        <w:footnoteReference w:id="14"/>
      </w:r>
    </w:p>
    <w:p w:rsidR="00231A7B" w:rsidRPr="004530AD" w:rsidRDefault="00231A7B" w:rsidP="006B5926">
      <w:pPr>
        <w:pStyle w:val="Heading2"/>
      </w:pPr>
      <w:bookmarkStart w:id="10" w:name="_Toc441923558"/>
      <w:r w:rsidRPr="004530AD">
        <w:lastRenderedPageBreak/>
        <w:t>Impact of low attachment</w:t>
      </w:r>
      <w:bookmarkEnd w:id="10"/>
    </w:p>
    <w:p w:rsidR="00231A7B" w:rsidRDefault="00231A7B" w:rsidP="00231A7B">
      <w:r>
        <w:t xml:space="preserve">Whilst there are many reasons why older people </w:t>
      </w:r>
      <w:r w:rsidR="00EB4365">
        <w:t>leave</w:t>
      </w:r>
      <w:r>
        <w:t xml:space="preserve"> the workforce, of particular concern is the impact of low attachment to the workforce among discouraged job seekers</w:t>
      </w:r>
      <w:proofErr w:type="gramStart"/>
      <w:r>
        <w:t xml:space="preserve">. </w:t>
      </w:r>
      <w:proofErr w:type="gramEnd"/>
      <w:r>
        <w:t xml:space="preserve">Discouraged job seekers are those who are available for work, but are not looking because they don’t think they </w:t>
      </w:r>
      <w:r w:rsidR="00EB4365">
        <w:t>will</w:t>
      </w:r>
      <w:r>
        <w:t xml:space="preserve"> be able to find a job. </w:t>
      </w:r>
    </w:p>
    <w:p w:rsidR="00231A7B" w:rsidRDefault="00231A7B" w:rsidP="00231A7B">
      <w:r>
        <w:t>In September 2015, around 10% of people aged 55 years and over reported being under-utilised in the workforce, either because they were unemployed or wanted to work more hours.</w:t>
      </w:r>
      <w:r>
        <w:rPr>
          <w:rStyle w:val="FootnoteReference"/>
        </w:rPr>
        <w:footnoteReference w:id="15"/>
      </w:r>
      <w:r>
        <w:t xml:space="preserve"> </w:t>
      </w:r>
    </w:p>
    <w:p w:rsidR="00231A7B" w:rsidRDefault="00231A7B" w:rsidP="00231A7B">
      <w:r>
        <w:t>The National Prevalence Survey indicates that around one third of older people have given up looking for work as a result of experiencing age discrimination.</w:t>
      </w:r>
      <w:r>
        <w:rPr>
          <w:rStyle w:val="FootnoteReference"/>
        </w:rPr>
        <w:footnoteReference w:id="16"/>
      </w:r>
      <w:proofErr w:type="gramStart"/>
      <w:r>
        <w:t xml:space="preserve"> </w:t>
      </w:r>
      <w:proofErr w:type="gramEnd"/>
      <w:r>
        <w:t xml:space="preserve">Around three-quarters of discouraged </w:t>
      </w:r>
      <w:proofErr w:type="gramStart"/>
      <w:r>
        <w:t>job-seekers</w:t>
      </w:r>
      <w:proofErr w:type="gramEnd"/>
      <w:r>
        <w:t xml:space="preserve"> aged 65 years and older reported the main reason they were not actively looking for work was because they were considered too old by employers.</w:t>
      </w:r>
      <w:r>
        <w:rPr>
          <w:rStyle w:val="FootnoteReference"/>
        </w:rPr>
        <w:footnoteReference w:id="17"/>
      </w:r>
      <w:r>
        <w:t xml:space="preserve"> </w:t>
      </w:r>
    </w:p>
    <w:p w:rsidR="00231A7B" w:rsidRDefault="00231A7B" w:rsidP="00231A7B">
      <w:r>
        <w:t>One of the main areas of discrimination against older workers exists in recruitment, particularly in relation to those who are seeking to re-enter the workforce.</w:t>
      </w:r>
    </w:p>
    <w:p w:rsidR="00231A7B" w:rsidRDefault="00231A7B" w:rsidP="00231A7B">
      <w:r>
        <w:t>National Seniors Australia estimates Australian workers who lose</w:t>
      </w:r>
      <w:r w:rsidR="00EB4365">
        <w:t xml:space="preserve"> their job at age 55 require 72 </w:t>
      </w:r>
      <w:r>
        <w:t>weeks to find alternative employment, compared with an average of 45 weeks for younger job seekers.</w:t>
      </w:r>
      <w:r>
        <w:rPr>
          <w:rStyle w:val="FootnoteReference"/>
        </w:rPr>
        <w:footnoteReference w:id="18"/>
      </w:r>
      <w:r>
        <w:t xml:space="preserve"> </w:t>
      </w:r>
    </w:p>
    <w:p w:rsidR="00231A7B" w:rsidRDefault="00231A7B" w:rsidP="00231A7B">
      <w:r>
        <w:t>Complaints received by Equal Opportunity Tasmania (summarised in</w:t>
      </w:r>
      <w:r w:rsidR="00EB4365">
        <w:t xml:space="preserve"> the</w:t>
      </w:r>
      <w:r>
        <w:t xml:space="preserve"> following section) confirm a significant concern </w:t>
      </w:r>
      <w:r w:rsidR="00EB4365">
        <w:t>for</w:t>
      </w:r>
      <w:r>
        <w:t xml:space="preserve"> older </w:t>
      </w:r>
      <w:r w:rsidR="00EB4365">
        <w:t xml:space="preserve">Tasmanians </w:t>
      </w:r>
      <w:r>
        <w:t>is that they are</w:t>
      </w:r>
      <w:r w:rsidR="00EB4365">
        <w:t xml:space="preserve"> or perceive they are</w:t>
      </w:r>
      <w:r>
        <w:t xml:space="preserve"> being discriminated against in the recruitment process </w:t>
      </w:r>
      <w:proofErr w:type="gramStart"/>
      <w:r>
        <w:t>on the basis of</w:t>
      </w:r>
      <w:proofErr w:type="gramEnd"/>
      <w:r>
        <w:t xml:space="preserve"> their age. </w:t>
      </w:r>
    </w:p>
    <w:p w:rsidR="00231A7B" w:rsidRDefault="00231A7B" w:rsidP="00231A7B">
      <w:r>
        <w:t xml:space="preserve">This is a view shared by the Australian Law Reform Commission in its </w:t>
      </w:r>
      <w:r w:rsidRPr="00271CCD">
        <w:rPr>
          <w:i/>
        </w:rPr>
        <w:t xml:space="preserve">Access </w:t>
      </w:r>
      <w:r>
        <w:rPr>
          <w:i/>
        </w:rPr>
        <w:t>A</w:t>
      </w:r>
      <w:r w:rsidRPr="00271CCD">
        <w:rPr>
          <w:i/>
        </w:rPr>
        <w:t>ll Ages</w:t>
      </w:r>
      <w:r>
        <w:t xml:space="preserve"> report</w:t>
      </w:r>
      <w:r w:rsidR="00EB4365">
        <w:t>,</w:t>
      </w:r>
      <w:r>
        <w:t xml:space="preserve"> which identified discrimination against mature-aged job seekers by some recruitment agencies and a limited understanding of obligations under discrimination law as key barriers to the recruitment of mature aged job seekers.</w:t>
      </w:r>
      <w:bookmarkStart w:id="11" w:name="_Ref441923232"/>
      <w:r>
        <w:rPr>
          <w:rStyle w:val="FootnoteReference"/>
        </w:rPr>
        <w:footnoteReference w:id="19"/>
      </w:r>
      <w:bookmarkEnd w:id="11"/>
    </w:p>
    <w:p w:rsidR="00231A7B" w:rsidRDefault="00231A7B" w:rsidP="00231A7B">
      <w:r>
        <w:t xml:space="preserve">To </w:t>
      </w:r>
      <w:r w:rsidR="00EB4365">
        <w:t>ensure compliance with</w:t>
      </w:r>
      <w:r>
        <w:t xml:space="preserve"> legal obligations under both </w:t>
      </w:r>
      <w:r w:rsidR="00EB4365">
        <w:t>industrial</w:t>
      </w:r>
      <w:r>
        <w:t xml:space="preserve"> and discrimination law</w:t>
      </w:r>
      <w:r w:rsidR="00EB4365">
        <w:t>,</w:t>
      </w:r>
      <w:r>
        <w:t xml:space="preserve"> it is important employers and employment agencies </w:t>
      </w:r>
      <w:r w:rsidR="00EB4365">
        <w:t xml:space="preserve">have a good </w:t>
      </w:r>
      <w:r>
        <w:t>understand</w:t>
      </w:r>
      <w:r w:rsidR="00EB4365">
        <w:t>ing</w:t>
      </w:r>
      <w:r>
        <w:t xml:space="preserve"> their legal obligations </w:t>
      </w:r>
      <w:r>
        <w:lastRenderedPageBreak/>
        <w:t>and that action is taken to improve recruitment practices and facilitate broad cultural and attitudinal change across all industry sectors</w:t>
      </w:r>
      <w:proofErr w:type="gramStart"/>
      <w:r>
        <w:t xml:space="preserve">. </w:t>
      </w:r>
      <w:proofErr w:type="gramEnd"/>
      <w:r>
        <w:t xml:space="preserve">This includes the requirement to avoid the inclusion of discriminatory selection </w:t>
      </w:r>
      <w:r w:rsidR="00EB4365">
        <w:t>criteria</w:t>
      </w:r>
      <w:r>
        <w:t xml:space="preserve"> when advertising pos</w:t>
      </w:r>
      <w:r w:rsidR="00EB4365">
        <w:t>itions and to set in place best-</w:t>
      </w:r>
      <w:r>
        <w:t>practice</w:t>
      </w:r>
      <w:r w:rsidR="00EB4365">
        <w:t>, inclusive</w:t>
      </w:r>
      <w:r>
        <w:t xml:space="preserve"> selection procedures to ensure suitability assessments are not based on discriminatory presumptions or the perceived ability of a work seeker to undertake the role or position because of their age.</w:t>
      </w:r>
    </w:p>
    <w:p w:rsidR="002C36BE" w:rsidRDefault="002C36BE" w:rsidP="006B5926">
      <w:pPr>
        <w:pStyle w:val="Heading2"/>
      </w:pPr>
      <w:bookmarkStart w:id="12" w:name="_Toc441923559"/>
      <w:r>
        <w:t>Managing an ageing workforce</w:t>
      </w:r>
      <w:bookmarkEnd w:id="12"/>
    </w:p>
    <w:p w:rsidR="002C36BE" w:rsidRDefault="002C36BE" w:rsidP="002C36BE">
      <w:r>
        <w:t xml:space="preserve">A key underlying theme in much of what amounts to age discrimination is the use of age as an indicator of ‘risk’. Generalisations are made about age informed by stereotypes about a person’s level of ability at certain ages. </w:t>
      </w:r>
    </w:p>
    <w:p w:rsidR="002C36BE" w:rsidRDefault="002C36BE" w:rsidP="002C36BE">
      <w:r>
        <w:t>Widespread views continue to exist that older workers lack flexibility and are less receptive to taking up new skills or are less reliable for health reasons</w:t>
      </w:r>
      <w:proofErr w:type="gramStart"/>
      <w:r>
        <w:t xml:space="preserve">. </w:t>
      </w:r>
      <w:proofErr w:type="gramEnd"/>
      <w:r>
        <w:t>This is despite the fact that older workers are often more productive and loyal to their present employer than workers in other age cohorts and</w:t>
      </w:r>
      <w:r w:rsidR="007F38A8">
        <w:t>,</w:t>
      </w:r>
      <w:r>
        <w:t xml:space="preserve"> in general</w:t>
      </w:r>
      <w:r w:rsidR="007F38A8">
        <w:t>,</w:t>
      </w:r>
      <w:r>
        <w:t xml:space="preserve"> suffer fewer workplace injuries than younger workers.</w:t>
      </w:r>
    </w:p>
    <w:p w:rsidR="002C36BE" w:rsidRDefault="002C36BE" w:rsidP="002C36BE">
      <w:r>
        <w:t xml:space="preserve">To assist in countering these stereotypes, </w:t>
      </w:r>
      <w:proofErr w:type="spellStart"/>
      <w:r>
        <w:t>WorkCover</w:t>
      </w:r>
      <w:proofErr w:type="spellEnd"/>
      <w:r>
        <w:t xml:space="preserve"> Tasmania has released a publication aimed at shifting perceptions about older workers.</w:t>
      </w:r>
      <w:r>
        <w:rPr>
          <w:rStyle w:val="FootnoteReference"/>
        </w:rPr>
        <w:footnoteReference w:id="20"/>
      </w:r>
    </w:p>
    <w:p w:rsidR="002C36BE" w:rsidRDefault="002C36BE" w:rsidP="002C36BE">
      <w:r w:rsidRPr="0078247E">
        <w:rPr>
          <w:i/>
        </w:rPr>
        <w:t>Safe and Healthy: a guide to managing an ageing workforce</w:t>
      </w:r>
      <w:r>
        <w:t xml:space="preserve"> has been adapted from a similar publication produced by the Government of Alberta in Canada</w:t>
      </w:r>
      <w:proofErr w:type="gramStart"/>
      <w:r>
        <w:t xml:space="preserve">. </w:t>
      </w:r>
      <w:proofErr w:type="gramEnd"/>
      <w:r>
        <w:t>It provides information on changes that can be made in the workplace to keep ageing workers safe, healthy and productive.</w:t>
      </w:r>
    </w:p>
    <w:p w:rsidR="002C36BE" w:rsidRDefault="002C36BE" w:rsidP="002C36BE">
      <w:r>
        <w:t xml:space="preserve">Key strategies include providing greater flexibility in the workplace; enhanced education and health strategies for older workers; and improved procedures to enhance the health and safety of older workers. </w:t>
      </w:r>
    </w:p>
    <w:p w:rsidR="00231A7B" w:rsidRDefault="00231A7B" w:rsidP="006B5926">
      <w:pPr>
        <w:pStyle w:val="Heading2"/>
      </w:pPr>
      <w:bookmarkStart w:id="13" w:name="_Toc441923560"/>
      <w:r>
        <w:t>Access t</w:t>
      </w:r>
      <w:r w:rsidR="007F38A8">
        <w:t>o f</w:t>
      </w:r>
      <w:r>
        <w:t xml:space="preserve">lexible </w:t>
      </w:r>
      <w:r w:rsidR="007F38A8">
        <w:t>w</w:t>
      </w:r>
      <w:r>
        <w:t xml:space="preserve">orking </w:t>
      </w:r>
      <w:r w:rsidR="007F38A8">
        <w:t>a</w:t>
      </w:r>
      <w:r>
        <w:t>rrangements</w:t>
      </w:r>
      <w:bookmarkEnd w:id="13"/>
    </w:p>
    <w:p w:rsidR="00231A7B" w:rsidRDefault="00231A7B" w:rsidP="00231A7B">
      <w:r>
        <w:t xml:space="preserve">A critical aspect of retaining older workers in employment for longer periods is the provision of flexible </w:t>
      </w:r>
      <w:r w:rsidR="007F38A8">
        <w:t>work</w:t>
      </w:r>
      <w:r>
        <w:t xml:space="preserve"> arrangements.</w:t>
      </w:r>
    </w:p>
    <w:p w:rsidR="00231A7B" w:rsidRDefault="00231A7B" w:rsidP="00231A7B">
      <w:r>
        <w:t xml:space="preserve">As indicated earlier in this submission, the average age of persons exiting the workforce is considerably reduced for those who are unable to find satisfactory </w:t>
      </w:r>
      <w:r w:rsidR="007F38A8">
        <w:t xml:space="preserve">work </w:t>
      </w:r>
      <w:proofErr w:type="gramStart"/>
      <w:r w:rsidR="007F38A8">
        <w:t>arrangements (such as part-</w:t>
      </w:r>
      <w:r>
        <w:t>time work) or who have increased caring responsibilities</w:t>
      </w:r>
      <w:proofErr w:type="gramEnd"/>
      <w:r>
        <w:t xml:space="preserve">. </w:t>
      </w:r>
    </w:p>
    <w:p w:rsidR="00231A7B" w:rsidRDefault="00231A7B" w:rsidP="00231A7B">
      <w:r>
        <w:t xml:space="preserve">Working conditions conducive to enabling older </w:t>
      </w:r>
      <w:proofErr w:type="gramStart"/>
      <w:r>
        <w:t>workers</w:t>
      </w:r>
      <w:proofErr w:type="gramEnd"/>
      <w:r>
        <w:t xml:space="preserve"> balance their work-life responsibilities provide increased incentive for older workers to stay in the workforce and remain economically productive into their older years. </w:t>
      </w:r>
    </w:p>
    <w:p w:rsidR="00231A7B" w:rsidRDefault="00231A7B" w:rsidP="00231A7B">
      <w:r>
        <w:t>Access to flexible working arrangements, including the ability to work part-time, is a significant issue for older workers</w:t>
      </w:r>
      <w:proofErr w:type="gramStart"/>
      <w:r>
        <w:t xml:space="preserve">. </w:t>
      </w:r>
      <w:proofErr w:type="gramEnd"/>
      <w:r w:rsidR="007F38A8">
        <w:t>Inclusion of provisions</w:t>
      </w:r>
      <w:r>
        <w:t xml:space="preserve"> in the </w:t>
      </w:r>
      <w:r w:rsidRPr="00EB7A94">
        <w:rPr>
          <w:i/>
        </w:rPr>
        <w:t xml:space="preserve">Fair Work Act 2009 </w:t>
      </w:r>
      <w:r>
        <w:t>(</w:t>
      </w:r>
      <w:proofErr w:type="spellStart"/>
      <w:r>
        <w:t>Cth</w:t>
      </w:r>
      <w:proofErr w:type="spellEnd"/>
      <w:r>
        <w:t xml:space="preserve">) (FWA) to extend </w:t>
      </w:r>
      <w:r>
        <w:lastRenderedPageBreak/>
        <w:t>the right to request flexible working arrangements to older workers (55+) and/or workers with caring responsibilities are critical to maintaining older persons within the workforce.</w:t>
      </w:r>
      <w:r>
        <w:rPr>
          <w:rStyle w:val="FootnoteReference"/>
        </w:rPr>
        <w:footnoteReference w:id="21"/>
      </w:r>
      <w:r>
        <w:t xml:space="preserve"> </w:t>
      </w:r>
    </w:p>
    <w:p w:rsidR="00231A7B" w:rsidRDefault="00231A7B" w:rsidP="00231A7B">
      <w:r>
        <w:t xml:space="preserve">However, the level of awareness among older workers of their employment rights appears low and nor does there appear to be widespread understanding among employers or their obligations under the FWA. </w:t>
      </w:r>
    </w:p>
    <w:p w:rsidR="00231A7B" w:rsidRDefault="00231A7B" w:rsidP="00231A7B">
      <w:r>
        <w:t xml:space="preserve">A significant issues addressed by the Australian Law Reform Commission in its </w:t>
      </w:r>
      <w:r w:rsidRPr="008A18DA">
        <w:rPr>
          <w:i/>
        </w:rPr>
        <w:t>Access all Ages</w:t>
      </w:r>
      <w:r>
        <w:t xml:space="preserve"> report was the need for greater awareness of legal rights and obligations, including promoting flexible working arrangements as standard business practice</w:t>
      </w:r>
      <w:r>
        <w:rPr>
          <w:rStyle w:val="FootnoteReference"/>
        </w:rPr>
        <w:footnoteReference w:id="22"/>
      </w:r>
      <w:r>
        <w:t xml:space="preserve"> and the inclusion of review provisions in the FWA to enable those who are refused access to flexible work arrangements to have that refusal reviewed.</w:t>
      </w:r>
      <w:r>
        <w:rPr>
          <w:rStyle w:val="FootnoteReference"/>
        </w:rPr>
        <w:footnoteReference w:id="23"/>
      </w:r>
      <w:proofErr w:type="gramStart"/>
      <w:r>
        <w:t xml:space="preserve"> </w:t>
      </w:r>
      <w:proofErr w:type="gramEnd"/>
      <w:r>
        <w:t>This approach is strongly supported.</w:t>
      </w:r>
    </w:p>
    <w:p w:rsidR="007E3921" w:rsidRDefault="0063708C" w:rsidP="006B5926">
      <w:pPr>
        <w:pStyle w:val="Heading2"/>
      </w:pPr>
      <w:bookmarkStart w:id="14" w:name="_Toc441923561"/>
      <w:r>
        <w:t>Access to worker</w:t>
      </w:r>
      <w:r w:rsidR="004E5C53">
        <w:t>’</w:t>
      </w:r>
      <w:r>
        <w:t>s compensation</w:t>
      </w:r>
      <w:bookmarkEnd w:id="14"/>
    </w:p>
    <w:p w:rsidR="00231A7B" w:rsidRDefault="00231A7B" w:rsidP="00892B31">
      <w:r>
        <w:t>The average age at which at person exits the work</w:t>
      </w:r>
      <w:r w:rsidR="004E5C53">
        <w:t>force due to injury, sickness or</w:t>
      </w:r>
      <w:r>
        <w:t xml:space="preserve"> disability is almost 8 years younger (54.9 years) than for those people who exit because they </w:t>
      </w:r>
      <w:r w:rsidR="004E5C53">
        <w:t>have</w:t>
      </w:r>
      <w:r>
        <w:t xml:space="preserve"> reached retirement age and </w:t>
      </w:r>
      <w:r w:rsidR="004E5C53">
        <w:t>are</w:t>
      </w:r>
      <w:r>
        <w:t xml:space="preserve"> eligible for superannuation and/or a pension (62.8 years)</w:t>
      </w:r>
      <w:proofErr w:type="gramStart"/>
      <w:r>
        <w:t xml:space="preserve">. </w:t>
      </w:r>
      <w:proofErr w:type="gramEnd"/>
      <w:r>
        <w:t xml:space="preserve">As changes to the pension age and superannuation eligibility criteria flow on to existing workers it is expected </w:t>
      </w:r>
      <w:r w:rsidR="004E5C53">
        <w:t>the</w:t>
      </w:r>
      <w:r>
        <w:t xml:space="preserve"> average age at which a person exits the workforce due to reaching retirement age will increase, thereby increasing the gap with those who are forced to depart early from the workforce due to injury, sickness or disability.</w:t>
      </w:r>
    </w:p>
    <w:p w:rsidR="00231A7B" w:rsidRDefault="00231A7B" w:rsidP="00892B31">
      <w:r>
        <w:t>Whilst for some</w:t>
      </w:r>
      <w:r w:rsidR="004E5C53">
        <w:t xml:space="preserve"> people sustaining an</w:t>
      </w:r>
      <w:r>
        <w:t xml:space="preserve"> injury, sickness or illness leaves </w:t>
      </w:r>
      <w:r w:rsidR="004E5C53">
        <w:t>them</w:t>
      </w:r>
      <w:r>
        <w:t xml:space="preserve"> with little option other than to permanently retire from the workforce, </w:t>
      </w:r>
      <w:r w:rsidR="004E5C53">
        <w:t>for many others</w:t>
      </w:r>
      <w:r>
        <w:t xml:space="preserve"> it is apparent </w:t>
      </w:r>
      <w:r w:rsidR="00472D22">
        <w:t>barriers to accessing worker</w:t>
      </w:r>
      <w:r w:rsidR="004E5C53">
        <w:t>’s compensation and/</w:t>
      </w:r>
      <w:r w:rsidR="00472D22">
        <w:t>or income protection insurance are encouraging early exit.</w:t>
      </w:r>
    </w:p>
    <w:p w:rsidR="00892B31" w:rsidRDefault="0063708C" w:rsidP="00892B31">
      <w:r>
        <w:t>S</w:t>
      </w:r>
      <w:r w:rsidR="00DC7F71">
        <w:t>tate</w:t>
      </w:r>
      <w:r w:rsidR="004E5C53">
        <w:t>-</w:t>
      </w:r>
      <w:r>
        <w:t xml:space="preserve"> and territory</w:t>
      </w:r>
      <w:r w:rsidR="004E5C53">
        <w:t>-</w:t>
      </w:r>
      <w:r w:rsidR="00DC7F71">
        <w:t>based worker</w:t>
      </w:r>
      <w:r w:rsidR="004E5C53">
        <w:t>’</w:t>
      </w:r>
      <w:r w:rsidR="00DC7F71">
        <w:t xml:space="preserve">s compensation schemes generally provide employees aged over 65 years with little or no protection </w:t>
      </w:r>
      <w:r w:rsidR="004E5C53">
        <w:t>in relation to the costs of</w:t>
      </w:r>
      <w:r w:rsidR="00DC7F71">
        <w:t xml:space="preserve"> work</w:t>
      </w:r>
      <w:r w:rsidR="004E5C53">
        <w:t>-related</w:t>
      </w:r>
      <w:r w:rsidR="00DC7F71">
        <w:t xml:space="preserve"> injuries</w:t>
      </w:r>
      <w:proofErr w:type="gramStart"/>
      <w:r w:rsidR="00DC7F71">
        <w:t xml:space="preserve">. </w:t>
      </w:r>
      <w:proofErr w:type="gramEnd"/>
      <w:r w:rsidR="00DC7F71">
        <w:t>Typically</w:t>
      </w:r>
      <w:r w:rsidR="004E5C53">
        <w:t>,</w:t>
      </w:r>
      <w:r w:rsidR="00DC7F71">
        <w:t xml:space="preserve"> injured workers cannot get weekly compensation after they reach retirement age</w:t>
      </w:r>
      <w:proofErr w:type="gramStart"/>
      <w:r w:rsidR="00DC7F71">
        <w:t>.</w:t>
      </w:r>
      <w:r w:rsidR="00B62D80">
        <w:t xml:space="preserve"> </w:t>
      </w:r>
      <w:proofErr w:type="gramEnd"/>
      <w:r>
        <w:t>This has the effect of transferring older workers from employment on to a retirement pension</w:t>
      </w:r>
      <w:r w:rsidR="00B62D80">
        <w:t xml:space="preserve">. </w:t>
      </w:r>
    </w:p>
    <w:p w:rsidR="0063708C" w:rsidRDefault="0063708C" w:rsidP="0063708C">
      <w:r>
        <w:t xml:space="preserve">Under Tasmania’s </w:t>
      </w:r>
      <w:r w:rsidRPr="009A0CE3">
        <w:rPr>
          <w:i/>
        </w:rPr>
        <w:t>Workers’ Rehabilitation and Compensation Act 1988</w:t>
      </w:r>
      <w:r>
        <w:t>, for example, if an injury occurs on or before age 64, compensation ceases at 65 years</w:t>
      </w:r>
      <w:proofErr w:type="gramStart"/>
      <w:r>
        <w:t xml:space="preserve">. </w:t>
      </w:r>
      <w:proofErr w:type="gramEnd"/>
      <w:r>
        <w:t>If the injury occurs after 64, compensation ceases one year after the injury occurs. The Workers Rehabilitation and Compensation Tribunal may allow payments to continue where the worker would have continued to work beyond age 65 (s</w:t>
      </w:r>
      <w:r w:rsidR="0037785D">
        <w:t>ection</w:t>
      </w:r>
      <w:r>
        <w:t xml:space="preserve"> 87)</w:t>
      </w:r>
      <w:proofErr w:type="gramStart"/>
      <w:r>
        <w:t>,</w:t>
      </w:r>
      <w:proofErr w:type="gramEnd"/>
      <w:r>
        <w:t xml:space="preserve"> however the decision to do so is discretionary.</w:t>
      </w:r>
      <w:r>
        <w:rPr>
          <w:rStyle w:val="FootnoteReference"/>
        </w:rPr>
        <w:footnoteReference w:id="24"/>
      </w:r>
    </w:p>
    <w:p w:rsidR="0013413B" w:rsidRDefault="0013413B" w:rsidP="006B5926">
      <w:pPr>
        <w:pStyle w:val="Heading2"/>
      </w:pPr>
      <w:bookmarkStart w:id="15" w:name="_Toc441923562"/>
      <w:r>
        <w:lastRenderedPageBreak/>
        <w:t>Access to insurance</w:t>
      </w:r>
      <w:bookmarkEnd w:id="15"/>
    </w:p>
    <w:p w:rsidR="00E925E3" w:rsidRDefault="004E5C53" w:rsidP="0013413B">
      <w:r>
        <w:t>Income protection insurance—</w:t>
      </w:r>
      <w:r w:rsidR="00E925E3">
        <w:t>otherwise known as personal accident, sickne</w:t>
      </w:r>
      <w:r>
        <w:t>ss and disability insurance—</w:t>
      </w:r>
      <w:r w:rsidR="00E925E3">
        <w:t>protects the insured in the event of being unable to work due to sickness or injury</w:t>
      </w:r>
      <w:proofErr w:type="gramStart"/>
      <w:r w:rsidR="00E925E3">
        <w:t xml:space="preserve">. </w:t>
      </w:r>
      <w:proofErr w:type="gramEnd"/>
      <w:r w:rsidR="00E925E3">
        <w:t>The benefit is generally provided by way of a wage subsidy when the policy holder is unable work due to circumstances covered by the policy.</w:t>
      </w:r>
    </w:p>
    <w:p w:rsidR="0013413B" w:rsidRDefault="004F0091" w:rsidP="0013413B">
      <w:r>
        <w:t>Many s</w:t>
      </w:r>
      <w:r w:rsidR="0013413B">
        <w:t xml:space="preserve">elf-employed </w:t>
      </w:r>
      <w:r w:rsidR="00E925E3">
        <w:t xml:space="preserve">older </w:t>
      </w:r>
      <w:r w:rsidR="0013413B">
        <w:t>workers are unable to get income protection insuranc</w:t>
      </w:r>
      <w:r>
        <w:t>e</w:t>
      </w:r>
      <w:r w:rsidR="00E925E3">
        <w:t xml:space="preserve"> over 65 years of age leaving them unable to work or forcing them to work with no cover</w:t>
      </w:r>
      <w:proofErr w:type="gramStart"/>
      <w:r>
        <w:t>.</w:t>
      </w:r>
      <w:r w:rsidR="00E925E3">
        <w:t xml:space="preserve"> </w:t>
      </w:r>
      <w:proofErr w:type="gramEnd"/>
      <w:r w:rsidR="00CA6886">
        <w:t xml:space="preserve">Similar age restrictions are also found in relation to trade insurance for accident and illness protection. </w:t>
      </w:r>
      <w:r w:rsidR="0013413B">
        <w:t>Where coverage is available</w:t>
      </w:r>
      <w:r w:rsidR="00707FAB">
        <w:t>,</w:t>
      </w:r>
      <w:r w:rsidR="0013413B">
        <w:t xml:space="preserve"> premiums are prohibitive.</w:t>
      </w:r>
    </w:p>
    <w:p w:rsidR="00E925E3" w:rsidRDefault="00E925E3" w:rsidP="0013413B">
      <w:r>
        <w:t xml:space="preserve">This barrier to employment is particularly difficult for those exiting </w:t>
      </w:r>
      <w:r w:rsidR="00707FAB">
        <w:t>a job</w:t>
      </w:r>
      <w:r>
        <w:t xml:space="preserve"> </w:t>
      </w:r>
      <w:proofErr w:type="gramStart"/>
      <w:r>
        <w:t>who</w:t>
      </w:r>
      <w:proofErr w:type="gramEnd"/>
      <w:r>
        <w:t xml:space="preserve"> are unable to find </w:t>
      </w:r>
      <w:r w:rsidR="00707FAB">
        <w:t xml:space="preserve">new </w:t>
      </w:r>
      <w:r>
        <w:t>employment and cho</w:t>
      </w:r>
      <w:r w:rsidR="00AE14AE">
        <w:t>o</w:t>
      </w:r>
      <w:r>
        <w:t>se instead to become self-employed.</w:t>
      </w:r>
    </w:p>
    <w:p w:rsidR="00760CCA" w:rsidRDefault="004F0091" w:rsidP="0013413B">
      <w:r>
        <w:t>A s</w:t>
      </w:r>
      <w:r w:rsidR="0013413B">
        <w:t>imilar problem</w:t>
      </w:r>
      <w:r>
        <w:t xml:space="preserve"> exists</w:t>
      </w:r>
      <w:r w:rsidR="0013413B">
        <w:t xml:space="preserve"> when it comes to </w:t>
      </w:r>
      <w:r w:rsidR="00E925E3">
        <w:t xml:space="preserve">mature-age </w:t>
      </w:r>
      <w:r w:rsidR="0013413B">
        <w:t>volunteer</w:t>
      </w:r>
      <w:r w:rsidR="00E925E3">
        <w:t>s</w:t>
      </w:r>
      <w:proofErr w:type="gramStart"/>
      <w:r w:rsidR="0013413B">
        <w:t>.</w:t>
      </w:r>
      <w:r w:rsidR="00590365">
        <w:t xml:space="preserve"> </w:t>
      </w:r>
      <w:proofErr w:type="gramEnd"/>
      <w:r w:rsidR="00590365">
        <w:t>In May 2013, I published an extensive report into discrimination in the provision of personal injury insurance covering older volunteers.</w:t>
      </w:r>
      <w:r w:rsidR="00590365">
        <w:rPr>
          <w:rStyle w:val="FootnoteReference"/>
        </w:rPr>
        <w:footnoteReference w:id="25"/>
      </w:r>
      <w:r w:rsidR="00590365">
        <w:t xml:space="preserve"> The Report examined the practice of many insurance companies adopting age limits for the provision of personal injury insurance to volunteers and the inclusion of restrictions that prevent people in particular age groups from accessing the same benefits as others. </w:t>
      </w:r>
    </w:p>
    <w:p w:rsidR="0013413B" w:rsidRDefault="00590365" w:rsidP="0013413B">
      <w:r>
        <w:t>As volunteering remains a significant area of employment of older Australians and often forms an important pathway to paid employment, ongoing restrictions in the access to insurance coverage remain an area of significant concern</w:t>
      </w:r>
      <w:proofErr w:type="gramStart"/>
      <w:r>
        <w:t xml:space="preserve">. </w:t>
      </w:r>
      <w:proofErr w:type="gramEnd"/>
      <w:r>
        <w:t>A key recommendation arising from this report was that the insurance industry develop</w:t>
      </w:r>
      <w:r w:rsidR="00760CCA">
        <w:t>s</w:t>
      </w:r>
      <w:r>
        <w:t xml:space="preserve"> an Insurance Industry Anti-discrimination </w:t>
      </w:r>
      <w:r w:rsidR="00760CCA">
        <w:t>C</w:t>
      </w:r>
      <w:r>
        <w:t xml:space="preserve">ompliance </w:t>
      </w:r>
      <w:r w:rsidR="00760CCA">
        <w:t>C</w:t>
      </w:r>
      <w:r>
        <w:t>ode aimed at providing clarification of the way in which in</w:t>
      </w:r>
      <w:r w:rsidR="00707FAB">
        <w:t xml:space="preserve">surance exceptions in </w:t>
      </w:r>
      <w:r>
        <w:t>discrimination law should apply.</w:t>
      </w:r>
      <w:r>
        <w:rPr>
          <w:rStyle w:val="FootnoteReference"/>
        </w:rPr>
        <w:footnoteReference w:id="26"/>
      </w:r>
      <w:proofErr w:type="gramStart"/>
      <w:r w:rsidR="00760CCA">
        <w:t xml:space="preserve"> </w:t>
      </w:r>
      <w:proofErr w:type="gramEnd"/>
      <w:r w:rsidR="00760CCA">
        <w:t>It is my view that</w:t>
      </w:r>
      <w:r w:rsidR="00707FAB">
        <w:t xml:space="preserve"> it is urgent that</w:t>
      </w:r>
      <w:r w:rsidR="00760CCA">
        <w:t xml:space="preserve"> action be taken to address these concerns.</w:t>
      </w:r>
    </w:p>
    <w:p w:rsidR="00104930" w:rsidRDefault="00914306" w:rsidP="00083B26">
      <w:pPr>
        <w:pStyle w:val="Heading1"/>
      </w:pPr>
      <w:bookmarkStart w:id="16" w:name="_Toc441923563"/>
      <w:r>
        <w:lastRenderedPageBreak/>
        <w:t>Data</w:t>
      </w:r>
      <w:bookmarkEnd w:id="16"/>
    </w:p>
    <w:p w:rsidR="00104930" w:rsidRDefault="00104930" w:rsidP="008E32DC">
      <w:pPr>
        <w:pStyle w:val="EOT-Contentssectionhead"/>
      </w:pPr>
      <w:r>
        <w:t>3.</w:t>
      </w:r>
      <w:r>
        <w:tab/>
        <w:t>What other data or information is available on employment discrimination against older Australians?</w:t>
      </w:r>
    </w:p>
    <w:p w:rsidR="00067A29" w:rsidRDefault="00067A29" w:rsidP="00104930">
      <w:r>
        <w:t xml:space="preserve">Tasmania’s discrimination law provides legal protection against </w:t>
      </w:r>
      <w:r w:rsidR="00D528BF">
        <w:t xml:space="preserve">age </w:t>
      </w:r>
      <w:r>
        <w:t>discrimination in employment.</w:t>
      </w:r>
    </w:p>
    <w:p w:rsidR="00191BA5" w:rsidRDefault="00D02AAC" w:rsidP="00104930">
      <w:r>
        <w:t xml:space="preserve">The following provides an overview of enquiries and complaints related to age discrimination received </w:t>
      </w:r>
      <w:r w:rsidR="00D528BF">
        <w:t xml:space="preserve">under the Act over the past three </w:t>
      </w:r>
      <w:r>
        <w:t>financial years.</w:t>
      </w:r>
    </w:p>
    <w:p w:rsidR="00D41944" w:rsidRDefault="00D41944" w:rsidP="006B5926">
      <w:pPr>
        <w:pStyle w:val="Heading2"/>
      </w:pPr>
      <w:bookmarkStart w:id="17" w:name="_Toc441923564"/>
      <w:r>
        <w:t>Age discrimination enquiry data</w:t>
      </w:r>
      <w:bookmarkEnd w:id="17"/>
    </w:p>
    <w:p w:rsidR="00191BA5" w:rsidRDefault="00191BA5" w:rsidP="00104930">
      <w:r>
        <w:t xml:space="preserve">Enquiry data </w:t>
      </w:r>
      <w:r w:rsidR="00C32F0D">
        <w:t xml:space="preserve">for Tasmania </w:t>
      </w:r>
      <w:r>
        <w:t xml:space="preserve">shows that </w:t>
      </w:r>
      <w:r w:rsidR="00745AC5">
        <w:t xml:space="preserve">approximately half of all enquiries received </w:t>
      </w:r>
      <w:r>
        <w:t>about age discrimination r</w:t>
      </w:r>
      <w:r w:rsidR="00745AC5">
        <w:t>elate to the area of employment including discrimination in relation to recruitment; discrimination against older workers within the workplace; and differential treatment of older workers in relation to redundancy and employment termination.</w:t>
      </w:r>
    </w:p>
    <w:p w:rsidR="00745AC5" w:rsidRDefault="00745AC5" w:rsidP="00104930">
      <w:r>
        <w:t xml:space="preserve">It is also of note that the number of </w:t>
      </w:r>
      <w:r w:rsidR="00067A29">
        <w:t>e</w:t>
      </w:r>
      <w:r>
        <w:t xml:space="preserve">nquiries in relation to age discrimination significantly increased in the </w:t>
      </w:r>
      <w:r w:rsidR="00D528BF">
        <w:t>2014–</w:t>
      </w:r>
      <w:r w:rsidR="005026D4">
        <w:t>15</w:t>
      </w:r>
      <w:r w:rsidR="00D528BF">
        <w:t xml:space="preserve"> financial year</w:t>
      </w:r>
      <w:proofErr w:type="gramStart"/>
      <w:r w:rsidR="00D528BF">
        <w:t xml:space="preserve">. </w:t>
      </w:r>
      <w:proofErr w:type="gramEnd"/>
      <w:r w:rsidR="00D528BF">
        <w:t>While</w:t>
      </w:r>
      <w:r>
        <w:t xml:space="preserve"> the reason for this</w:t>
      </w:r>
      <w:r w:rsidR="005026D4">
        <w:t xml:space="preserve"> increase</w:t>
      </w:r>
      <w:r>
        <w:t xml:space="preserve"> is not clear, </w:t>
      </w:r>
      <w:r w:rsidR="005026D4">
        <w:t>it</w:t>
      </w:r>
      <w:r>
        <w:t xml:space="preserve"> </w:t>
      </w:r>
      <w:r w:rsidR="005026D4">
        <w:t>may</w:t>
      </w:r>
      <w:r>
        <w:t xml:space="preserve"> relate in part to increased concern about access to employment and job security at a time of significant labour force contraction, particularly in the Tasmanian public sector which represents the State’s biggest employer.</w:t>
      </w:r>
    </w:p>
    <w:p w:rsidR="006B5926" w:rsidRPr="00AE38F7" w:rsidRDefault="006B5926" w:rsidP="006B5926">
      <w:pPr>
        <w:pStyle w:val="Caption"/>
      </w:pPr>
      <w:r w:rsidRPr="00AE38F7">
        <w:t xml:space="preserve">Table 1: </w:t>
      </w:r>
      <w:r>
        <w:t>Age</w:t>
      </w:r>
      <w:r w:rsidRPr="00AE38F7">
        <w:t xml:space="preserve"> discrimination enquiries</w:t>
      </w:r>
      <w:r>
        <w:rPr>
          <w:rStyle w:val="FootnoteReference"/>
        </w:rPr>
        <w:footnoteReference w:id="27"/>
      </w:r>
    </w:p>
    <w:tbl>
      <w:tblPr>
        <w:tblStyle w:val="Table3Deffects3"/>
        <w:tblW w:w="8691" w:type="dxa"/>
        <w:tblLook w:val="04A0" w:firstRow="1" w:lastRow="0" w:firstColumn="1" w:lastColumn="0" w:noHBand="0" w:noVBand="1"/>
      </w:tblPr>
      <w:tblGrid>
        <w:gridCol w:w="3958"/>
        <w:gridCol w:w="1608"/>
        <w:gridCol w:w="1534"/>
        <w:gridCol w:w="1591"/>
      </w:tblGrid>
      <w:tr w:rsidR="00D02AAC" w:rsidRPr="00D528BF" w:rsidTr="005D0A01">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3958" w:type="dxa"/>
            <w:tcBorders>
              <w:top w:val="single" w:sz="6" w:space="0" w:color="808080"/>
              <w:bottom w:val="dotted" w:sz="4" w:space="0" w:color="auto"/>
              <w:right w:val="none" w:sz="0" w:space="0" w:color="auto"/>
            </w:tcBorders>
            <w:noWrap/>
            <w:hideMark/>
          </w:tcPr>
          <w:p w:rsidR="00D02AAC" w:rsidRPr="00D528BF" w:rsidRDefault="00D02AAC" w:rsidP="00D528BF">
            <w:pPr>
              <w:pStyle w:val="Tabletext"/>
            </w:pPr>
          </w:p>
        </w:tc>
        <w:tc>
          <w:tcPr>
            <w:tcW w:w="1608" w:type="dxa"/>
            <w:tcBorders>
              <w:top w:val="single" w:sz="6" w:space="0" w:color="808080"/>
              <w:bottom w:val="dotted" w:sz="4" w:space="0" w:color="auto"/>
            </w:tcBorders>
            <w:hideMark/>
          </w:tcPr>
          <w:p w:rsidR="00D02AAC" w:rsidRPr="00D528BF" w:rsidRDefault="005D0A01" w:rsidP="00D528BF">
            <w:pPr>
              <w:pStyle w:val="Tabletext"/>
              <w:cnfStyle w:val="100000000000" w:firstRow="1" w:lastRow="0" w:firstColumn="0" w:lastColumn="0" w:oddVBand="0" w:evenVBand="0" w:oddHBand="0" w:evenHBand="0" w:firstRowFirstColumn="0" w:firstRowLastColumn="0" w:lastRowFirstColumn="0" w:lastRowLastColumn="0"/>
            </w:pPr>
            <w:r w:rsidRPr="00D528BF">
              <w:t>2012–</w:t>
            </w:r>
            <w:r w:rsidR="00D02AAC" w:rsidRPr="00D528BF">
              <w:t>13</w:t>
            </w:r>
          </w:p>
        </w:tc>
        <w:tc>
          <w:tcPr>
            <w:tcW w:w="1534" w:type="dxa"/>
            <w:tcBorders>
              <w:top w:val="single" w:sz="6" w:space="0" w:color="808080"/>
              <w:bottom w:val="dotted" w:sz="4" w:space="0" w:color="auto"/>
            </w:tcBorders>
            <w:hideMark/>
          </w:tcPr>
          <w:p w:rsidR="00D02AAC" w:rsidRPr="00D528BF" w:rsidRDefault="005D0A01" w:rsidP="00D528BF">
            <w:pPr>
              <w:pStyle w:val="Tabletext"/>
              <w:cnfStyle w:val="100000000000" w:firstRow="1" w:lastRow="0" w:firstColumn="0" w:lastColumn="0" w:oddVBand="0" w:evenVBand="0" w:oddHBand="0" w:evenHBand="0" w:firstRowFirstColumn="0" w:firstRowLastColumn="0" w:lastRowFirstColumn="0" w:lastRowLastColumn="0"/>
            </w:pPr>
            <w:r w:rsidRPr="00D528BF">
              <w:t>2013–</w:t>
            </w:r>
            <w:r w:rsidR="00D02AAC" w:rsidRPr="00D528BF">
              <w:t>14</w:t>
            </w:r>
          </w:p>
        </w:tc>
        <w:tc>
          <w:tcPr>
            <w:tcW w:w="1591" w:type="dxa"/>
            <w:tcBorders>
              <w:top w:val="single" w:sz="6" w:space="0" w:color="808080"/>
              <w:bottom w:val="dotted" w:sz="4" w:space="0" w:color="auto"/>
            </w:tcBorders>
            <w:hideMark/>
          </w:tcPr>
          <w:p w:rsidR="00D02AAC" w:rsidRPr="00D528BF" w:rsidRDefault="005D0A01" w:rsidP="00D528BF">
            <w:pPr>
              <w:pStyle w:val="Tabletext"/>
              <w:cnfStyle w:val="100000000000" w:firstRow="1" w:lastRow="0" w:firstColumn="0" w:lastColumn="0" w:oddVBand="0" w:evenVBand="0" w:oddHBand="0" w:evenHBand="0" w:firstRowFirstColumn="0" w:firstRowLastColumn="0" w:lastRowFirstColumn="0" w:lastRowLastColumn="0"/>
            </w:pPr>
            <w:r w:rsidRPr="00D528BF">
              <w:t>2014–</w:t>
            </w:r>
            <w:r w:rsidR="00D02AAC" w:rsidRPr="00D528BF">
              <w:t>15</w:t>
            </w:r>
          </w:p>
        </w:tc>
      </w:tr>
      <w:tr w:rsidR="00D02AAC" w:rsidRPr="00D528BF" w:rsidTr="005D0A01">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958" w:type="dxa"/>
            <w:tcBorders>
              <w:top w:val="dotted" w:sz="4" w:space="0" w:color="auto"/>
              <w:bottom w:val="dotted" w:sz="4" w:space="0" w:color="auto"/>
              <w:right w:val="none" w:sz="0" w:space="0" w:color="auto"/>
            </w:tcBorders>
            <w:hideMark/>
          </w:tcPr>
          <w:p w:rsidR="00D02AAC" w:rsidRPr="00D528BF" w:rsidRDefault="00D02AAC" w:rsidP="00D528BF">
            <w:pPr>
              <w:pStyle w:val="Tabletext"/>
            </w:pPr>
            <w:r w:rsidRPr="00D528BF">
              <w:t>Enquiries received about age discrimination</w:t>
            </w:r>
          </w:p>
        </w:tc>
        <w:tc>
          <w:tcPr>
            <w:tcW w:w="1608" w:type="dxa"/>
            <w:tcBorders>
              <w:top w:val="dotted" w:sz="4" w:space="0" w:color="auto"/>
              <w:bottom w:val="dotted" w:sz="4" w:space="0" w:color="auto"/>
            </w:tcBorders>
            <w:noWrap/>
            <w:hideMark/>
          </w:tcPr>
          <w:p w:rsidR="00D02AAC" w:rsidRPr="00D528BF" w:rsidRDefault="00D02AAC" w:rsidP="00D528BF">
            <w:pPr>
              <w:pStyle w:val="Tabletext"/>
              <w:tabs>
                <w:tab w:val="decimal" w:pos="947"/>
              </w:tabs>
              <w:cnfStyle w:val="000000100000" w:firstRow="0" w:lastRow="0" w:firstColumn="0" w:lastColumn="0" w:oddVBand="0" w:evenVBand="0" w:oddHBand="1" w:evenHBand="0" w:firstRowFirstColumn="0" w:firstRowLastColumn="0" w:lastRowFirstColumn="0" w:lastRowLastColumn="0"/>
            </w:pPr>
            <w:r w:rsidRPr="00D528BF">
              <w:t>40</w:t>
            </w:r>
          </w:p>
        </w:tc>
        <w:tc>
          <w:tcPr>
            <w:tcW w:w="1534" w:type="dxa"/>
            <w:tcBorders>
              <w:top w:val="dotted" w:sz="4" w:space="0" w:color="auto"/>
              <w:bottom w:val="dotted" w:sz="4" w:space="0" w:color="auto"/>
            </w:tcBorders>
            <w:noWrap/>
            <w:hideMark/>
          </w:tcPr>
          <w:p w:rsidR="00D02AAC" w:rsidRPr="00D528BF" w:rsidRDefault="00D02AAC" w:rsidP="00D528BF">
            <w:pPr>
              <w:pStyle w:val="Tabletext"/>
              <w:tabs>
                <w:tab w:val="decimal" w:pos="959"/>
              </w:tabs>
              <w:cnfStyle w:val="000000100000" w:firstRow="0" w:lastRow="0" w:firstColumn="0" w:lastColumn="0" w:oddVBand="0" w:evenVBand="0" w:oddHBand="1" w:evenHBand="0" w:firstRowFirstColumn="0" w:firstRowLastColumn="0" w:lastRowFirstColumn="0" w:lastRowLastColumn="0"/>
            </w:pPr>
            <w:r w:rsidRPr="00D528BF">
              <w:t>40</w:t>
            </w:r>
          </w:p>
        </w:tc>
        <w:tc>
          <w:tcPr>
            <w:tcW w:w="1591" w:type="dxa"/>
            <w:tcBorders>
              <w:top w:val="dotted" w:sz="4" w:space="0" w:color="auto"/>
              <w:bottom w:val="dotted" w:sz="4" w:space="0" w:color="auto"/>
            </w:tcBorders>
            <w:noWrap/>
            <w:hideMark/>
          </w:tcPr>
          <w:p w:rsidR="00D02AAC" w:rsidRPr="00D528BF" w:rsidRDefault="00D02AAC" w:rsidP="00D528BF">
            <w:pPr>
              <w:pStyle w:val="Tabletext"/>
              <w:tabs>
                <w:tab w:val="decimal" w:pos="910"/>
              </w:tabs>
              <w:cnfStyle w:val="000000100000" w:firstRow="0" w:lastRow="0" w:firstColumn="0" w:lastColumn="0" w:oddVBand="0" w:evenVBand="0" w:oddHBand="1" w:evenHBand="0" w:firstRowFirstColumn="0" w:firstRowLastColumn="0" w:lastRowFirstColumn="0" w:lastRowLastColumn="0"/>
            </w:pPr>
            <w:r w:rsidRPr="00D528BF">
              <w:t>65</w:t>
            </w:r>
          </w:p>
        </w:tc>
      </w:tr>
      <w:tr w:rsidR="00D02AAC" w:rsidRPr="00D528BF" w:rsidTr="005D0A01">
        <w:trPr>
          <w:trHeight w:val="805"/>
        </w:trPr>
        <w:tc>
          <w:tcPr>
            <w:cnfStyle w:val="001000000000" w:firstRow="0" w:lastRow="0" w:firstColumn="1" w:lastColumn="0" w:oddVBand="0" w:evenVBand="0" w:oddHBand="0" w:evenHBand="0" w:firstRowFirstColumn="0" w:firstRowLastColumn="0" w:lastRowFirstColumn="0" w:lastRowLastColumn="0"/>
            <w:tcW w:w="3958" w:type="dxa"/>
            <w:tcBorders>
              <w:top w:val="dotted" w:sz="4" w:space="0" w:color="auto"/>
              <w:bottom w:val="dotted" w:sz="4" w:space="0" w:color="auto"/>
              <w:right w:val="none" w:sz="0" w:space="0" w:color="auto"/>
            </w:tcBorders>
            <w:hideMark/>
          </w:tcPr>
          <w:p w:rsidR="00D02AAC" w:rsidRPr="00D528BF" w:rsidRDefault="00D02AAC" w:rsidP="00D528BF">
            <w:pPr>
              <w:pStyle w:val="Tabletext"/>
            </w:pPr>
            <w:r w:rsidRPr="00D528BF">
              <w:t xml:space="preserve">Enquiries received about age discrimination in area of employment </w:t>
            </w:r>
          </w:p>
        </w:tc>
        <w:tc>
          <w:tcPr>
            <w:tcW w:w="1608" w:type="dxa"/>
            <w:tcBorders>
              <w:top w:val="dotted" w:sz="4" w:space="0" w:color="auto"/>
              <w:bottom w:val="dotted" w:sz="4" w:space="0" w:color="auto"/>
            </w:tcBorders>
            <w:noWrap/>
            <w:hideMark/>
          </w:tcPr>
          <w:p w:rsidR="00D02AAC" w:rsidRPr="00D528BF" w:rsidRDefault="00D02AAC" w:rsidP="00D528BF">
            <w:pPr>
              <w:pStyle w:val="Tabletext"/>
              <w:tabs>
                <w:tab w:val="decimal" w:pos="947"/>
              </w:tabs>
              <w:cnfStyle w:val="000000000000" w:firstRow="0" w:lastRow="0" w:firstColumn="0" w:lastColumn="0" w:oddVBand="0" w:evenVBand="0" w:oddHBand="0" w:evenHBand="0" w:firstRowFirstColumn="0" w:firstRowLastColumn="0" w:lastRowFirstColumn="0" w:lastRowLastColumn="0"/>
            </w:pPr>
            <w:r w:rsidRPr="00D528BF">
              <w:t>20</w:t>
            </w:r>
          </w:p>
        </w:tc>
        <w:tc>
          <w:tcPr>
            <w:tcW w:w="1534" w:type="dxa"/>
            <w:tcBorders>
              <w:top w:val="dotted" w:sz="4" w:space="0" w:color="auto"/>
              <w:bottom w:val="dotted" w:sz="4" w:space="0" w:color="auto"/>
            </w:tcBorders>
            <w:noWrap/>
            <w:hideMark/>
          </w:tcPr>
          <w:p w:rsidR="00D02AAC" w:rsidRPr="00D528BF" w:rsidRDefault="00D02AAC" w:rsidP="00D528BF">
            <w:pPr>
              <w:pStyle w:val="Tabletext"/>
              <w:tabs>
                <w:tab w:val="decimal" w:pos="959"/>
              </w:tabs>
              <w:cnfStyle w:val="000000000000" w:firstRow="0" w:lastRow="0" w:firstColumn="0" w:lastColumn="0" w:oddVBand="0" w:evenVBand="0" w:oddHBand="0" w:evenHBand="0" w:firstRowFirstColumn="0" w:firstRowLastColumn="0" w:lastRowFirstColumn="0" w:lastRowLastColumn="0"/>
            </w:pPr>
            <w:r w:rsidRPr="00D528BF">
              <w:t>20</w:t>
            </w:r>
          </w:p>
        </w:tc>
        <w:tc>
          <w:tcPr>
            <w:tcW w:w="1591" w:type="dxa"/>
            <w:tcBorders>
              <w:top w:val="dotted" w:sz="4" w:space="0" w:color="auto"/>
              <w:bottom w:val="dotted" w:sz="4" w:space="0" w:color="auto"/>
            </w:tcBorders>
            <w:noWrap/>
            <w:hideMark/>
          </w:tcPr>
          <w:p w:rsidR="00D02AAC" w:rsidRPr="00D528BF" w:rsidRDefault="00D02AAC" w:rsidP="00D528BF">
            <w:pPr>
              <w:pStyle w:val="Tabletext"/>
              <w:tabs>
                <w:tab w:val="decimal" w:pos="910"/>
              </w:tabs>
              <w:cnfStyle w:val="000000000000" w:firstRow="0" w:lastRow="0" w:firstColumn="0" w:lastColumn="0" w:oddVBand="0" w:evenVBand="0" w:oddHBand="0" w:evenHBand="0" w:firstRowFirstColumn="0" w:firstRowLastColumn="0" w:lastRowFirstColumn="0" w:lastRowLastColumn="0"/>
            </w:pPr>
            <w:r w:rsidRPr="00D528BF">
              <w:t>31</w:t>
            </w:r>
          </w:p>
        </w:tc>
      </w:tr>
      <w:tr w:rsidR="005D0A01" w:rsidRPr="00D528BF" w:rsidTr="005D0A0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8691" w:type="dxa"/>
            <w:gridSpan w:val="4"/>
            <w:tcBorders>
              <w:top w:val="dotted" w:sz="4" w:space="0" w:color="auto"/>
              <w:bottom w:val="dotted" w:sz="4" w:space="0" w:color="auto"/>
            </w:tcBorders>
            <w:hideMark/>
          </w:tcPr>
          <w:p w:rsidR="005D0A01" w:rsidRPr="00D528BF" w:rsidRDefault="005D0A01" w:rsidP="00D528BF">
            <w:pPr>
              <w:pStyle w:val="Tabletext"/>
              <w:rPr>
                <w:b/>
              </w:rPr>
            </w:pPr>
            <w:r w:rsidRPr="00D528BF">
              <w:rPr>
                <w:b/>
              </w:rPr>
              <w:t xml:space="preserve">Enquiries received about age discrimination in the area of employment: </w:t>
            </w:r>
            <w:r w:rsidR="00D528BF">
              <w:rPr>
                <w:b/>
              </w:rPr>
              <w:br/>
            </w:r>
            <w:r w:rsidRPr="00D528BF">
              <w:rPr>
                <w:b/>
              </w:rPr>
              <w:t>Contact mode</w:t>
            </w:r>
          </w:p>
        </w:tc>
      </w:tr>
      <w:tr w:rsidR="00D02AAC" w:rsidRPr="00D528BF" w:rsidTr="005D0A01">
        <w:trPr>
          <w:trHeight w:val="276"/>
        </w:trPr>
        <w:tc>
          <w:tcPr>
            <w:cnfStyle w:val="001000000000" w:firstRow="0" w:lastRow="0" w:firstColumn="1" w:lastColumn="0" w:oddVBand="0" w:evenVBand="0" w:oddHBand="0" w:evenHBand="0" w:firstRowFirstColumn="0" w:firstRowLastColumn="0" w:lastRowFirstColumn="0" w:lastRowLastColumn="0"/>
            <w:tcW w:w="3958" w:type="dxa"/>
            <w:tcBorders>
              <w:top w:val="dotted" w:sz="4" w:space="0" w:color="auto"/>
              <w:bottom w:val="dotted" w:sz="4" w:space="0" w:color="auto"/>
              <w:right w:val="none" w:sz="0" w:space="0" w:color="auto"/>
            </w:tcBorders>
            <w:noWrap/>
            <w:hideMark/>
          </w:tcPr>
          <w:p w:rsidR="00D02AAC" w:rsidRPr="00D528BF" w:rsidRDefault="00D02AAC" w:rsidP="00D528BF">
            <w:pPr>
              <w:pStyle w:val="Tabletext"/>
            </w:pPr>
            <w:r w:rsidRPr="00D528BF">
              <w:t>Telephone</w:t>
            </w:r>
          </w:p>
        </w:tc>
        <w:tc>
          <w:tcPr>
            <w:tcW w:w="1608" w:type="dxa"/>
            <w:tcBorders>
              <w:top w:val="dotted" w:sz="4" w:space="0" w:color="auto"/>
              <w:bottom w:val="dotted" w:sz="4" w:space="0" w:color="auto"/>
            </w:tcBorders>
            <w:noWrap/>
            <w:hideMark/>
          </w:tcPr>
          <w:p w:rsidR="00D02AAC" w:rsidRPr="00D528BF" w:rsidRDefault="00D02AAC" w:rsidP="00D528BF">
            <w:pPr>
              <w:pStyle w:val="Tabletext"/>
              <w:tabs>
                <w:tab w:val="decimal" w:pos="932"/>
              </w:tabs>
              <w:cnfStyle w:val="000000000000" w:firstRow="0" w:lastRow="0" w:firstColumn="0" w:lastColumn="0" w:oddVBand="0" w:evenVBand="0" w:oddHBand="0" w:evenHBand="0" w:firstRowFirstColumn="0" w:firstRowLastColumn="0" w:lastRowFirstColumn="0" w:lastRowLastColumn="0"/>
            </w:pPr>
            <w:r w:rsidRPr="00D528BF">
              <w:t>18</w:t>
            </w:r>
          </w:p>
        </w:tc>
        <w:tc>
          <w:tcPr>
            <w:tcW w:w="1534" w:type="dxa"/>
            <w:tcBorders>
              <w:top w:val="dotted" w:sz="4" w:space="0" w:color="auto"/>
              <w:bottom w:val="dotted" w:sz="4" w:space="0" w:color="auto"/>
            </w:tcBorders>
            <w:noWrap/>
            <w:hideMark/>
          </w:tcPr>
          <w:p w:rsidR="00D02AAC" w:rsidRPr="00D528BF" w:rsidRDefault="00D02AAC" w:rsidP="00D528BF">
            <w:pPr>
              <w:pStyle w:val="Tabletext"/>
              <w:tabs>
                <w:tab w:val="decimal" w:pos="955"/>
              </w:tabs>
              <w:cnfStyle w:val="000000000000" w:firstRow="0" w:lastRow="0" w:firstColumn="0" w:lastColumn="0" w:oddVBand="0" w:evenVBand="0" w:oddHBand="0" w:evenHBand="0" w:firstRowFirstColumn="0" w:firstRowLastColumn="0" w:lastRowFirstColumn="0" w:lastRowLastColumn="0"/>
            </w:pPr>
            <w:r w:rsidRPr="00D528BF">
              <w:t>13</w:t>
            </w:r>
          </w:p>
        </w:tc>
        <w:tc>
          <w:tcPr>
            <w:tcW w:w="1591" w:type="dxa"/>
            <w:tcBorders>
              <w:top w:val="dotted" w:sz="4" w:space="0" w:color="auto"/>
              <w:bottom w:val="dotted" w:sz="4" w:space="0" w:color="auto"/>
            </w:tcBorders>
            <w:noWrap/>
            <w:hideMark/>
          </w:tcPr>
          <w:p w:rsidR="00D02AAC" w:rsidRPr="00D528BF" w:rsidRDefault="00D02AAC" w:rsidP="00D528BF">
            <w:pPr>
              <w:pStyle w:val="Tabletext"/>
              <w:tabs>
                <w:tab w:val="decimal" w:pos="895"/>
              </w:tabs>
              <w:cnfStyle w:val="000000000000" w:firstRow="0" w:lastRow="0" w:firstColumn="0" w:lastColumn="0" w:oddVBand="0" w:evenVBand="0" w:oddHBand="0" w:evenHBand="0" w:firstRowFirstColumn="0" w:firstRowLastColumn="0" w:lastRowFirstColumn="0" w:lastRowLastColumn="0"/>
            </w:pPr>
            <w:r w:rsidRPr="00D528BF">
              <w:t>22</w:t>
            </w:r>
          </w:p>
        </w:tc>
      </w:tr>
      <w:tr w:rsidR="00D02AAC" w:rsidRPr="00D528BF" w:rsidTr="005D0A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8" w:type="dxa"/>
            <w:tcBorders>
              <w:top w:val="dotted" w:sz="4" w:space="0" w:color="auto"/>
              <w:bottom w:val="dotted" w:sz="4" w:space="0" w:color="auto"/>
              <w:right w:val="none" w:sz="0" w:space="0" w:color="auto"/>
            </w:tcBorders>
            <w:noWrap/>
            <w:hideMark/>
          </w:tcPr>
          <w:p w:rsidR="00D02AAC" w:rsidRPr="00D528BF" w:rsidRDefault="00D02AAC" w:rsidP="00D528BF">
            <w:pPr>
              <w:pStyle w:val="Tabletext"/>
            </w:pPr>
            <w:r w:rsidRPr="00D528BF">
              <w:t>In person</w:t>
            </w:r>
          </w:p>
        </w:tc>
        <w:tc>
          <w:tcPr>
            <w:tcW w:w="1608" w:type="dxa"/>
            <w:tcBorders>
              <w:top w:val="dotted" w:sz="4" w:space="0" w:color="auto"/>
              <w:bottom w:val="dotted" w:sz="4" w:space="0" w:color="auto"/>
            </w:tcBorders>
            <w:noWrap/>
            <w:hideMark/>
          </w:tcPr>
          <w:p w:rsidR="00D02AAC" w:rsidRPr="00D528BF" w:rsidRDefault="00D02AAC" w:rsidP="00D528BF">
            <w:pPr>
              <w:pStyle w:val="Tabletext"/>
              <w:tabs>
                <w:tab w:val="decimal" w:pos="932"/>
              </w:tabs>
              <w:cnfStyle w:val="000000100000" w:firstRow="0" w:lastRow="0" w:firstColumn="0" w:lastColumn="0" w:oddVBand="0" w:evenVBand="0" w:oddHBand="1" w:evenHBand="0" w:firstRowFirstColumn="0" w:firstRowLastColumn="0" w:lastRowFirstColumn="0" w:lastRowLastColumn="0"/>
            </w:pPr>
            <w:r w:rsidRPr="00D528BF">
              <w:t>1</w:t>
            </w:r>
          </w:p>
        </w:tc>
        <w:tc>
          <w:tcPr>
            <w:tcW w:w="1534" w:type="dxa"/>
            <w:tcBorders>
              <w:top w:val="dotted" w:sz="4" w:space="0" w:color="auto"/>
              <w:bottom w:val="dotted" w:sz="4" w:space="0" w:color="auto"/>
            </w:tcBorders>
            <w:noWrap/>
            <w:hideMark/>
          </w:tcPr>
          <w:p w:rsidR="00D02AAC" w:rsidRPr="00D528BF" w:rsidRDefault="00D02AAC" w:rsidP="00D528BF">
            <w:pPr>
              <w:pStyle w:val="Tabletext"/>
              <w:tabs>
                <w:tab w:val="decimal" w:pos="955"/>
              </w:tabs>
              <w:cnfStyle w:val="000000100000" w:firstRow="0" w:lastRow="0" w:firstColumn="0" w:lastColumn="0" w:oddVBand="0" w:evenVBand="0" w:oddHBand="1" w:evenHBand="0" w:firstRowFirstColumn="0" w:firstRowLastColumn="0" w:lastRowFirstColumn="0" w:lastRowLastColumn="0"/>
            </w:pPr>
            <w:r w:rsidRPr="00D528BF">
              <w:t>3</w:t>
            </w:r>
          </w:p>
        </w:tc>
        <w:tc>
          <w:tcPr>
            <w:tcW w:w="1591" w:type="dxa"/>
            <w:tcBorders>
              <w:top w:val="dotted" w:sz="4" w:space="0" w:color="auto"/>
              <w:bottom w:val="dotted" w:sz="4" w:space="0" w:color="auto"/>
            </w:tcBorders>
            <w:noWrap/>
            <w:hideMark/>
          </w:tcPr>
          <w:p w:rsidR="00D02AAC" w:rsidRPr="00D528BF" w:rsidRDefault="00D02AAC" w:rsidP="00D528BF">
            <w:pPr>
              <w:pStyle w:val="Tabletext"/>
              <w:tabs>
                <w:tab w:val="decimal" w:pos="895"/>
              </w:tabs>
              <w:cnfStyle w:val="000000100000" w:firstRow="0" w:lastRow="0" w:firstColumn="0" w:lastColumn="0" w:oddVBand="0" w:evenVBand="0" w:oddHBand="1" w:evenHBand="0" w:firstRowFirstColumn="0" w:firstRowLastColumn="0" w:lastRowFirstColumn="0" w:lastRowLastColumn="0"/>
            </w:pPr>
            <w:r w:rsidRPr="00D528BF">
              <w:t>4</w:t>
            </w:r>
          </w:p>
        </w:tc>
      </w:tr>
      <w:tr w:rsidR="00D02AAC" w:rsidRPr="00D528BF" w:rsidTr="005D0A01">
        <w:trPr>
          <w:trHeight w:val="276"/>
        </w:trPr>
        <w:tc>
          <w:tcPr>
            <w:cnfStyle w:val="001000000000" w:firstRow="0" w:lastRow="0" w:firstColumn="1" w:lastColumn="0" w:oddVBand="0" w:evenVBand="0" w:oddHBand="0" w:evenHBand="0" w:firstRowFirstColumn="0" w:firstRowLastColumn="0" w:lastRowFirstColumn="0" w:lastRowLastColumn="0"/>
            <w:tcW w:w="3958" w:type="dxa"/>
            <w:tcBorders>
              <w:top w:val="dotted" w:sz="4" w:space="0" w:color="auto"/>
              <w:bottom w:val="dotted" w:sz="4" w:space="0" w:color="auto"/>
              <w:right w:val="none" w:sz="0" w:space="0" w:color="auto"/>
            </w:tcBorders>
            <w:noWrap/>
            <w:hideMark/>
          </w:tcPr>
          <w:p w:rsidR="00D02AAC" w:rsidRPr="00D528BF" w:rsidRDefault="00D02AAC" w:rsidP="00D528BF">
            <w:pPr>
              <w:pStyle w:val="Tabletext"/>
            </w:pPr>
            <w:r w:rsidRPr="00D528BF">
              <w:t>Electronic (e</w:t>
            </w:r>
            <w:r w:rsidR="00D528BF">
              <w:t>-</w:t>
            </w:r>
            <w:r w:rsidRPr="00D528BF">
              <w:t>mail, web etc.)</w:t>
            </w:r>
          </w:p>
        </w:tc>
        <w:tc>
          <w:tcPr>
            <w:tcW w:w="1608" w:type="dxa"/>
            <w:tcBorders>
              <w:top w:val="dotted" w:sz="4" w:space="0" w:color="auto"/>
              <w:bottom w:val="dotted" w:sz="4" w:space="0" w:color="auto"/>
            </w:tcBorders>
            <w:noWrap/>
            <w:hideMark/>
          </w:tcPr>
          <w:p w:rsidR="00D02AAC" w:rsidRPr="00D528BF" w:rsidRDefault="00D02AAC" w:rsidP="00D528BF">
            <w:pPr>
              <w:pStyle w:val="Tabletext"/>
              <w:tabs>
                <w:tab w:val="decimal" w:pos="932"/>
              </w:tabs>
              <w:cnfStyle w:val="000000000000" w:firstRow="0" w:lastRow="0" w:firstColumn="0" w:lastColumn="0" w:oddVBand="0" w:evenVBand="0" w:oddHBand="0" w:evenHBand="0" w:firstRowFirstColumn="0" w:firstRowLastColumn="0" w:lastRowFirstColumn="0" w:lastRowLastColumn="0"/>
            </w:pPr>
            <w:r w:rsidRPr="00D528BF">
              <w:t>1</w:t>
            </w:r>
          </w:p>
        </w:tc>
        <w:tc>
          <w:tcPr>
            <w:tcW w:w="1534" w:type="dxa"/>
            <w:tcBorders>
              <w:top w:val="dotted" w:sz="4" w:space="0" w:color="auto"/>
              <w:bottom w:val="dotted" w:sz="4" w:space="0" w:color="auto"/>
            </w:tcBorders>
            <w:noWrap/>
            <w:hideMark/>
          </w:tcPr>
          <w:p w:rsidR="00D02AAC" w:rsidRPr="00D528BF" w:rsidRDefault="00D02AAC" w:rsidP="00D528BF">
            <w:pPr>
              <w:pStyle w:val="Tabletext"/>
              <w:tabs>
                <w:tab w:val="decimal" w:pos="955"/>
              </w:tabs>
              <w:cnfStyle w:val="000000000000" w:firstRow="0" w:lastRow="0" w:firstColumn="0" w:lastColumn="0" w:oddVBand="0" w:evenVBand="0" w:oddHBand="0" w:evenHBand="0" w:firstRowFirstColumn="0" w:firstRowLastColumn="0" w:lastRowFirstColumn="0" w:lastRowLastColumn="0"/>
            </w:pPr>
            <w:r w:rsidRPr="00D528BF">
              <w:t>4</w:t>
            </w:r>
          </w:p>
        </w:tc>
        <w:tc>
          <w:tcPr>
            <w:tcW w:w="1591" w:type="dxa"/>
            <w:tcBorders>
              <w:top w:val="dotted" w:sz="4" w:space="0" w:color="auto"/>
              <w:bottom w:val="dotted" w:sz="4" w:space="0" w:color="auto"/>
            </w:tcBorders>
            <w:noWrap/>
            <w:hideMark/>
          </w:tcPr>
          <w:p w:rsidR="00D02AAC" w:rsidRPr="00D528BF" w:rsidRDefault="00D02AAC" w:rsidP="00D528BF">
            <w:pPr>
              <w:pStyle w:val="Tabletext"/>
              <w:tabs>
                <w:tab w:val="decimal" w:pos="895"/>
              </w:tabs>
              <w:cnfStyle w:val="000000000000" w:firstRow="0" w:lastRow="0" w:firstColumn="0" w:lastColumn="0" w:oddVBand="0" w:evenVBand="0" w:oddHBand="0" w:evenHBand="0" w:firstRowFirstColumn="0" w:firstRowLastColumn="0" w:lastRowFirstColumn="0" w:lastRowLastColumn="0"/>
            </w:pPr>
            <w:r w:rsidRPr="00D528BF">
              <w:t>5</w:t>
            </w:r>
          </w:p>
        </w:tc>
      </w:tr>
      <w:tr w:rsidR="00D02AAC" w:rsidRPr="00D528BF" w:rsidTr="005D0A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8" w:type="dxa"/>
            <w:tcBorders>
              <w:top w:val="dotted" w:sz="4" w:space="0" w:color="auto"/>
              <w:bottom w:val="dotted" w:sz="4" w:space="0" w:color="auto"/>
              <w:right w:val="none" w:sz="0" w:space="0" w:color="auto"/>
            </w:tcBorders>
            <w:noWrap/>
            <w:hideMark/>
          </w:tcPr>
          <w:p w:rsidR="00D02AAC" w:rsidRPr="00D528BF" w:rsidRDefault="00D528BF" w:rsidP="00D528BF">
            <w:pPr>
              <w:pStyle w:val="Tabletext"/>
            </w:pPr>
            <w:r>
              <w:t>By post</w:t>
            </w:r>
          </w:p>
        </w:tc>
        <w:tc>
          <w:tcPr>
            <w:tcW w:w="1608" w:type="dxa"/>
            <w:tcBorders>
              <w:top w:val="dotted" w:sz="4" w:space="0" w:color="auto"/>
              <w:bottom w:val="dotted" w:sz="4" w:space="0" w:color="auto"/>
            </w:tcBorders>
            <w:noWrap/>
            <w:hideMark/>
          </w:tcPr>
          <w:p w:rsidR="00D02AAC" w:rsidRPr="00D528BF" w:rsidRDefault="00D528BF" w:rsidP="00D528BF">
            <w:pPr>
              <w:pStyle w:val="Tabletext"/>
              <w:tabs>
                <w:tab w:val="decimal" w:pos="932"/>
              </w:tabs>
              <w:cnfStyle w:val="000000100000" w:firstRow="0" w:lastRow="0" w:firstColumn="0" w:lastColumn="0" w:oddVBand="0" w:evenVBand="0" w:oddHBand="1" w:evenHBand="0" w:firstRowFirstColumn="0" w:firstRowLastColumn="0" w:lastRowFirstColumn="0" w:lastRowLastColumn="0"/>
            </w:pPr>
            <w:r>
              <w:t>0</w:t>
            </w:r>
          </w:p>
        </w:tc>
        <w:tc>
          <w:tcPr>
            <w:tcW w:w="1534" w:type="dxa"/>
            <w:tcBorders>
              <w:top w:val="dotted" w:sz="4" w:space="0" w:color="auto"/>
              <w:bottom w:val="dotted" w:sz="4" w:space="0" w:color="auto"/>
            </w:tcBorders>
            <w:noWrap/>
            <w:hideMark/>
          </w:tcPr>
          <w:p w:rsidR="00D02AAC" w:rsidRPr="00D528BF" w:rsidRDefault="00D528BF" w:rsidP="00D528BF">
            <w:pPr>
              <w:pStyle w:val="Tabletext"/>
              <w:tabs>
                <w:tab w:val="decimal" w:pos="955"/>
              </w:tabs>
              <w:cnfStyle w:val="000000100000" w:firstRow="0" w:lastRow="0" w:firstColumn="0" w:lastColumn="0" w:oddVBand="0" w:evenVBand="0" w:oddHBand="1" w:evenHBand="0" w:firstRowFirstColumn="0" w:firstRowLastColumn="0" w:lastRowFirstColumn="0" w:lastRowLastColumn="0"/>
            </w:pPr>
            <w:r>
              <w:t>0</w:t>
            </w:r>
          </w:p>
        </w:tc>
        <w:tc>
          <w:tcPr>
            <w:tcW w:w="1591" w:type="dxa"/>
            <w:tcBorders>
              <w:top w:val="dotted" w:sz="4" w:space="0" w:color="auto"/>
              <w:bottom w:val="dotted" w:sz="4" w:space="0" w:color="auto"/>
            </w:tcBorders>
            <w:noWrap/>
            <w:hideMark/>
          </w:tcPr>
          <w:p w:rsidR="00D02AAC" w:rsidRPr="00D528BF" w:rsidRDefault="00D528BF" w:rsidP="00D528BF">
            <w:pPr>
              <w:pStyle w:val="Tabletext"/>
              <w:tabs>
                <w:tab w:val="decimal" w:pos="895"/>
              </w:tabs>
              <w:cnfStyle w:val="000000100000" w:firstRow="0" w:lastRow="0" w:firstColumn="0" w:lastColumn="0" w:oddVBand="0" w:evenVBand="0" w:oddHBand="1" w:evenHBand="0" w:firstRowFirstColumn="0" w:firstRowLastColumn="0" w:lastRowFirstColumn="0" w:lastRowLastColumn="0"/>
            </w:pPr>
            <w:r>
              <w:t>0</w:t>
            </w:r>
          </w:p>
        </w:tc>
      </w:tr>
      <w:tr w:rsidR="00D02AAC" w:rsidRPr="00D528BF" w:rsidTr="005D0A01">
        <w:trPr>
          <w:trHeight w:val="276"/>
        </w:trPr>
        <w:tc>
          <w:tcPr>
            <w:cnfStyle w:val="001000000000" w:firstRow="0" w:lastRow="0" w:firstColumn="1" w:lastColumn="0" w:oddVBand="0" w:evenVBand="0" w:oddHBand="0" w:evenHBand="0" w:firstRowFirstColumn="0" w:firstRowLastColumn="0" w:lastRowFirstColumn="0" w:lastRowLastColumn="0"/>
            <w:tcW w:w="3958" w:type="dxa"/>
            <w:tcBorders>
              <w:top w:val="dotted" w:sz="4" w:space="0" w:color="auto"/>
              <w:bottom w:val="dotted" w:sz="4" w:space="0" w:color="auto"/>
              <w:right w:val="none" w:sz="0" w:space="0" w:color="auto"/>
            </w:tcBorders>
            <w:noWrap/>
            <w:hideMark/>
          </w:tcPr>
          <w:p w:rsidR="00D02AAC" w:rsidRPr="00D528BF" w:rsidRDefault="00D02AAC" w:rsidP="00D528BF">
            <w:pPr>
              <w:pStyle w:val="Tabletext"/>
            </w:pPr>
            <w:r w:rsidRPr="00D528BF">
              <w:lastRenderedPageBreak/>
              <w:t>NRS</w:t>
            </w:r>
          </w:p>
        </w:tc>
        <w:tc>
          <w:tcPr>
            <w:tcW w:w="1608" w:type="dxa"/>
            <w:tcBorders>
              <w:top w:val="dotted" w:sz="4" w:space="0" w:color="auto"/>
              <w:bottom w:val="dotted" w:sz="4" w:space="0" w:color="auto"/>
            </w:tcBorders>
            <w:noWrap/>
            <w:hideMark/>
          </w:tcPr>
          <w:p w:rsidR="00D02AAC" w:rsidRPr="00D528BF" w:rsidRDefault="00D528BF" w:rsidP="00D528BF">
            <w:pPr>
              <w:pStyle w:val="Tabletext"/>
              <w:tabs>
                <w:tab w:val="decimal" w:pos="932"/>
              </w:tabs>
              <w:cnfStyle w:val="000000000000" w:firstRow="0" w:lastRow="0" w:firstColumn="0" w:lastColumn="0" w:oddVBand="0" w:evenVBand="0" w:oddHBand="0" w:evenHBand="0" w:firstRowFirstColumn="0" w:firstRowLastColumn="0" w:lastRowFirstColumn="0" w:lastRowLastColumn="0"/>
            </w:pPr>
            <w:r>
              <w:t>0</w:t>
            </w:r>
          </w:p>
        </w:tc>
        <w:tc>
          <w:tcPr>
            <w:tcW w:w="1534" w:type="dxa"/>
            <w:tcBorders>
              <w:top w:val="dotted" w:sz="4" w:space="0" w:color="auto"/>
              <w:bottom w:val="dotted" w:sz="4" w:space="0" w:color="auto"/>
            </w:tcBorders>
            <w:noWrap/>
            <w:hideMark/>
          </w:tcPr>
          <w:p w:rsidR="00D02AAC" w:rsidRPr="00D528BF" w:rsidRDefault="00D528BF" w:rsidP="00D528BF">
            <w:pPr>
              <w:pStyle w:val="Tabletext"/>
              <w:tabs>
                <w:tab w:val="decimal" w:pos="955"/>
              </w:tabs>
              <w:cnfStyle w:val="000000000000" w:firstRow="0" w:lastRow="0" w:firstColumn="0" w:lastColumn="0" w:oddVBand="0" w:evenVBand="0" w:oddHBand="0" w:evenHBand="0" w:firstRowFirstColumn="0" w:firstRowLastColumn="0" w:lastRowFirstColumn="0" w:lastRowLastColumn="0"/>
            </w:pPr>
            <w:r>
              <w:t>0</w:t>
            </w:r>
          </w:p>
        </w:tc>
        <w:tc>
          <w:tcPr>
            <w:tcW w:w="1591" w:type="dxa"/>
            <w:tcBorders>
              <w:top w:val="dotted" w:sz="4" w:space="0" w:color="auto"/>
              <w:bottom w:val="dotted" w:sz="4" w:space="0" w:color="auto"/>
            </w:tcBorders>
            <w:noWrap/>
            <w:hideMark/>
          </w:tcPr>
          <w:p w:rsidR="00D02AAC" w:rsidRPr="00D528BF" w:rsidRDefault="00D528BF" w:rsidP="00D528BF">
            <w:pPr>
              <w:pStyle w:val="Tabletext"/>
              <w:tabs>
                <w:tab w:val="decimal" w:pos="895"/>
              </w:tabs>
              <w:cnfStyle w:val="000000000000" w:firstRow="0" w:lastRow="0" w:firstColumn="0" w:lastColumn="0" w:oddVBand="0" w:evenVBand="0" w:oddHBand="0" w:evenHBand="0" w:firstRowFirstColumn="0" w:firstRowLastColumn="0" w:lastRowFirstColumn="0" w:lastRowLastColumn="0"/>
            </w:pPr>
            <w:r>
              <w:t>0</w:t>
            </w:r>
          </w:p>
        </w:tc>
      </w:tr>
      <w:tr w:rsidR="00D02AAC" w:rsidRPr="00D528BF" w:rsidTr="005D0A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8" w:type="dxa"/>
            <w:tcBorders>
              <w:top w:val="dotted" w:sz="4" w:space="0" w:color="auto"/>
              <w:bottom w:val="single" w:sz="6" w:space="0" w:color="808080"/>
              <w:right w:val="none" w:sz="0" w:space="0" w:color="auto"/>
            </w:tcBorders>
            <w:noWrap/>
            <w:hideMark/>
          </w:tcPr>
          <w:p w:rsidR="00D02AAC" w:rsidRPr="00D528BF" w:rsidRDefault="00D02AAC" w:rsidP="00D528BF">
            <w:pPr>
              <w:pStyle w:val="Tabletext"/>
            </w:pPr>
            <w:r w:rsidRPr="00D528BF">
              <w:t>TTY</w:t>
            </w:r>
          </w:p>
        </w:tc>
        <w:tc>
          <w:tcPr>
            <w:tcW w:w="1608" w:type="dxa"/>
            <w:tcBorders>
              <w:top w:val="dotted" w:sz="4" w:space="0" w:color="auto"/>
              <w:bottom w:val="single" w:sz="6" w:space="0" w:color="808080"/>
            </w:tcBorders>
            <w:noWrap/>
            <w:hideMark/>
          </w:tcPr>
          <w:p w:rsidR="00D02AAC" w:rsidRPr="00D528BF" w:rsidRDefault="00D528BF" w:rsidP="00D528BF">
            <w:pPr>
              <w:pStyle w:val="Tabletext"/>
              <w:tabs>
                <w:tab w:val="decimal" w:pos="932"/>
              </w:tabs>
              <w:cnfStyle w:val="000000100000" w:firstRow="0" w:lastRow="0" w:firstColumn="0" w:lastColumn="0" w:oddVBand="0" w:evenVBand="0" w:oddHBand="1" w:evenHBand="0" w:firstRowFirstColumn="0" w:firstRowLastColumn="0" w:lastRowFirstColumn="0" w:lastRowLastColumn="0"/>
            </w:pPr>
            <w:r>
              <w:t>0</w:t>
            </w:r>
          </w:p>
        </w:tc>
        <w:tc>
          <w:tcPr>
            <w:tcW w:w="1534" w:type="dxa"/>
            <w:tcBorders>
              <w:top w:val="dotted" w:sz="4" w:space="0" w:color="auto"/>
              <w:bottom w:val="single" w:sz="6" w:space="0" w:color="808080"/>
            </w:tcBorders>
            <w:noWrap/>
            <w:hideMark/>
          </w:tcPr>
          <w:p w:rsidR="00D02AAC" w:rsidRPr="00D528BF" w:rsidRDefault="00D528BF" w:rsidP="00D528BF">
            <w:pPr>
              <w:pStyle w:val="Tabletext"/>
              <w:tabs>
                <w:tab w:val="decimal" w:pos="955"/>
              </w:tabs>
              <w:cnfStyle w:val="000000100000" w:firstRow="0" w:lastRow="0" w:firstColumn="0" w:lastColumn="0" w:oddVBand="0" w:evenVBand="0" w:oddHBand="1" w:evenHBand="0" w:firstRowFirstColumn="0" w:firstRowLastColumn="0" w:lastRowFirstColumn="0" w:lastRowLastColumn="0"/>
            </w:pPr>
            <w:r>
              <w:t>0</w:t>
            </w:r>
          </w:p>
        </w:tc>
        <w:tc>
          <w:tcPr>
            <w:tcW w:w="1591" w:type="dxa"/>
            <w:tcBorders>
              <w:top w:val="dotted" w:sz="4" w:space="0" w:color="auto"/>
              <w:bottom w:val="single" w:sz="6" w:space="0" w:color="808080"/>
            </w:tcBorders>
            <w:noWrap/>
            <w:hideMark/>
          </w:tcPr>
          <w:p w:rsidR="00D02AAC" w:rsidRPr="00D528BF" w:rsidRDefault="00D528BF" w:rsidP="00D528BF">
            <w:pPr>
              <w:pStyle w:val="Tabletext"/>
              <w:tabs>
                <w:tab w:val="decimal" w:pos="895"/>
              </w:tabs>
              <w:cnfStyle w:val="000000100000" w:firstRow="0" w:lastRow="0" w:firstColumn="0" w:lastColumn="0" w:oddVBand="0" w:evenVBand="0" w:oddHBand="1" w:evenHBand="0" w:firstRowFirstColumn="0" w:firstRowLastColumn="0" w:lastRowFirstColumn="0" w:lastRowLastColumn="0"/>
            </w:pPr>
            <w:r>
              <w:t>0</w:t>
            </w:r>
          </w:p>
        </w:tc>
      </w:tr>
    </w:tbl>
    <w:p w:rsidR="00914306" w:rsidRDefault="00D41944" w:rsidP="006B5926">
      <w:pPr>
        <w:pStyle w:val="Heading2"/>
      </w:pPr>
      <w:bookmarkStart w:id="18" w:name="_Toc441923565"/>
      <w:r>
        <w:t>Age discrimination complaint data</w:t>
      </w:r>
      <w:bookmarkEnd w:id="18"/>
    </w:p>
    <w:p w:rsidR="00914306" w:rsidRDefault="00D41944" w:rsidP="00104930">
      <w:r>
        <w:t xml:space="preserve">Table 2 provides information on complaints related to age discrimination received since July 2012. </w:t>
      </w:r>
    </w:p>
    <w:p w:rsidR="00674F93" w:rsidRDefault="00D528BF" w:rsidP="00104930">
      <w:r>
        <w:t>Whilst the number of age-</w:t>
      </w:r>
      <w:r w:rsidR="00F705A8">
        <w:t>related complaints vary</w:t>
      </w:r>
      <w:r>
        <w:t>,</w:t>
      </w:r>
      <w:r w:rsidR="00F705A8">
        <w:t xml:space="preserve"> the proportion of age-related complaints received </w:t>
      </w:r>
      <w:r w:rsidR="00B83B1B">
        <w:t xml:space="preserve">annually </w:t>
      </w:r>
      <w:r w:rsidR="00A363C9">
        <w:t xml:space="preserve">has exceeded </w:t>
      </w:r>
      <w:r w:rsidR="00F705A8">
        <w:t>11 per cent of all complaints</w:t>
      </w:r>
      <w:r w:rsidR="00A363C9">
        <w:t xml:space="preserve"> over the past decade, peaking at a high of 24.2% of all complaints in 2008</w:t>
      </w:r>
      <w:r>
        <w:t>–</w:t>
      </w:r>
      <w:r w:rsidR="00A363C9">
        <w:t>09</w:t>
      </w:r>
      <w:r w:rsidR="00F705A8">
        <w:t>.</w:t>
      </w:r>
      <w:r w:rsidR="00F705A8">
        <w:rPr>
          <w:rStyle w:val="FootnoteReference"/>
        </w:rPr>
        <w:footnoteReference w:id="28"/>
      </w:r>
      <w:proofErr w:type="gramStart"/>
      <w:r w:rsidR="00F705A8">
        <w:t xml:space="preserve"> </w:t>
      </w:r>
      <w:proofErr w:type="gramEnd"/>
      <w:r w:rsidR="006834C2">
        <w:t>Consistent with broader complaints data, employment represents the most significant area of activity identified by complainants.</w:t>
      </w:r>
      <w:r w:rsidR="006834C2">
        <w:rPr>
          <w:rStyle w:val="FootnoteReference"/>
        </w:rPr>
        <w:footnoteReference w:id="29"/>
      </w:r>
    </w:p>
    <w:p w:rsidR="006B5926" w:rsidRPr="00AE38F7" w:rsidRDefault="006B5926" w:rsidP="006B5926">
      <w:pPr>
        <w:pStyle w:val="Caption"/>
      </w:pPr>
      <w:r w:rsidRPr="00AE38F7">
        <w:t xml:space="preserve">Table </w:t>
      </w:r>
      <w:r>
        <w:t>2</w:t>
      </w:r>
      <w:r w:rsidRPr="00AE38F7">
        <w:t xml:space="preserve">: </w:t>
      </w:r>
      <w:r w:rsidRPr="004D0140">
        <w:t>Age Discrimination Complaints (from people aged 40 years and over)</w:t>
      </w:r>
    </w:p>
    <w:tbl>
      <w:tblPr>
        <w:tblStyle w:val="Table3Deffects3"/>
        <w:tblW w:w="8756" w:type="dxa"/>
        <w:tblBorders>
          <w:top w:val="single" w:sz="6" w:space="0" w:color="808080"/>
          <w:bottom w:val="single" w:sz="6" w:space="0" w:color="808080"/>
          <w:insideH w:val="dotted" w:sz="4" w:space="0" w:color="auto"/>
        </w:tblBorders>
        <w:tblLook w:val="04A0" w:firstRow="1" w:lastRow="0" w:firstColumn="1" w:lastColumn="0" w:noHBand="0" w:noVBand="1"/>
      </w:tblPr>
      <w:tblGrid>
        <w:gridCol w:w="4243"/>
        <w:gridCol w:w="1616"/>
        <w:gridCol w:w="1475"/>
        <w:gridCol w:w="1422"/>
      </w:tblGrid>
      <w:tr w:rsidR="004D0140" w:rsidRPr="00C32F0D" w:rsidTr="00A34E71">
        <w:trPr>
          <w:cnfStyle w:val="100000000000" w:firstRow="1" w:lastRow="0" w:firstColumn="0" w:lastColumn="0" w:oddVBand="0" w:evenVBand="0" w:oddHBand="0" w:evenHBand="0" w:firstRowFirstColumn="0" w:firstRowLastColumn="0" w:lastRowFirstColumn="0" w:lastRowLastColumn="0"/>
          <w:trHeight w:val="280"/>
          <w:tblHeader/>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hideMark/>
          </w:tcPr>
          <w:p w:rsidR="004D0140" w:rsidRPr="00C32F0D" w:rsidRDefault="004D0140" w:rsidP="00D528BF">
            <w:pPr>
              <w:pStyle w:val="Tabletext"/>
            </w:pPr>
            <w:r w:rsidRPr="00C32F0D">
              <w:t> </w:t>
            </w:r>
          </w:p>
        </w:tc>
        <w:tc>
          <w:tcPr>
            <w:tcW w:w="1616" w:type="dxa"/>
            <w:hideMark/>
          </w:tcPr>
          <w:p w:rsidR="004D0140" w:rsidRPr="00C32F0D" w:rsidRDefault="00D528BF" w:rsidP="00D528BF">
            <w:pPr>
              <w:pStyle w:val="Tabletext"/>
              <w:cnfStyle w:val="100000000000" w:firstRow="1" w:lastRow="0" w:firstColumn="0" w:lastColumn="0" w:oddVBand="0" w:evenVBand="0" w:oddHBand="0" w:evenHBand="0" w:firstRowFirstColumn="0" w:firstRowLastColumn="0" w:lastRowFirstColumn="0" w:lastRowLastColumn="0"/>
            </w:pPr>
            <w:r>
              <w:t>2012–</w:t>
            </w:r>
            <w:r w:rsidR="004D0140" w:rsidRPr="00C32F0D">
              <w:t>13</w:t>
            </w:r>
          </w:p>
        </w:tc>
        <w:tc>
          <w:tcPr>
            <w:tcW w:w="1475" w:type="dxa"/>
            <w:hideMark/>
          </w:tcPr>
          <w:p w:rsidR="004D0140" w:rsidRPr="00C32F0D" w:rsidRDefault="00D528BF" w:rsidP="00D528BF">
            <w:pPr>
              <w:pStyle w:val="Tabletext"/>
              <w:cnfStyle w:val="100000000000" w:firstRow="1" w:lastRow="0" w:firstColumn="0" w:lastColumn="0" w:oddVBand="0" w:evenVBand="0" w:oddHBand="0" w:evenHBand="0" w:firstRowFirstColumn="0" w:firstRowLastColumn="0" w:lastRowFirstColumn="0" w:lastRowLastColumn="0"/>
            </w:pPr>
            <w:r>
              <w:t>2013–</w:t>
            </w:r>
            <w:r w:rsidR="004D0140" w:rsidRPr="00C32F0D">
              <w:t>14</w:t>
            </w:r>
          </w:p>
        </w:tc>
        <w:tc>
          <w:tcPr>
            <w:tcW w:w="1422" w:type="dxa"/>
            <w:hideMark/>
          </w:tcPr>
          <w:p w:rsidR="004D0140" w:rsidRPr="00C32F0D" w:rsidRDefault="00D528BF" w:rsidP="00D528BF">
            <w:pPr>
              <w:pStyle w:val="Tabletext"/>
              <w:cnfStyle w:val="100000000000" w:firstRow="1" w:lastRow="0" w:firstColumn="0" w:lastColumn="0" w:oddVBand="0" w:evenVBand="0" w:oddHBand="0" w:evenHBand="0" w:firstRowFirstColumn="0" w:firstRowLastColumn="0" w:lastRowFirstColumn="0" w:lastRowLastColumn="0"/>
            </w:pPr>
            <w:r>
              <w:t>2014–</w:t>
            </w:r>
            <w:r w:rsidR="004D0140" w:rsidRPr="00C32F0D">
              <w:t>15</w:t>
            </w:r>
          </w:p>
        </w:tc>
      </w:tr>
      <w:tr w:rsidR="004D0140" w:rsidRPr="00D528BF" w:rsidTr="00D528BF">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243" w:type="dxa"/>
            <w:tcBorders>
              <w:top w:val="none" w:sz="0" w:space="0" w:color="auto"/>
              <w:bottom w:val="none" w:sz="0" w:space="0" w:color="auto"/>
              <w:right w:val="none" w:sz="0" w:space="0" w:color="auto"/>
            </w:tcBorders>
            <w:hideMark/>
          </w:tcPr>
          <w:p w:rsidR="004D0140" w:rsidRPr="00D528BF" w:rsidRDefault="004D0140" w:rsidP="00D528BF">
            <w:pPr>
              <w:pStyle w:val="Tabletext"/>
            </w:pPr>
            <w:r w:rsidRPr="00D528BF">
              <w:t>Total number of complaints received about age discrimination</w:t>
            </w:r>
          </w:p>
        </w:tc>
        <w:tc>
          <w:tcPr>
            <w:tcW w:w="1616" w:type="dxa"/>
            <w:tcBorders>
              <w:top w:val="none" w:sz="0" w:space="0" w:color="auto"/>
              <w:bottom w:val="none" w:sz="0" w:space="0" w:color="auto"/>
            </w:tcBorders>
            <w:hideMark/>
          </w:tcPr>
          <w:p w:rsidR="004D0140" w:rsidRPr="00D528BF" w:rsidRDefault="004D0140" w:rsidP="00D528BF">
            <w:pPr>
              <w:pStyle w:val="Tabletext"/>
              <w:tabs>
                <w:tab w:val="decimal" w:pos="842"/>
              </w:tabs>
              <w:cnfStyle w:val="000000100000" w:firstRow="0" w:lastRow="0" w:firstColumn="0" w:lastColumn="0" w:oddVBand="0" w:evenVBand="0" w:oddHBand="1" w:evenHBand="0" w:firstRowFirstColumn="0" w:firstRowLastColumn="0" w:lastRowFirstColumn="0" w:lastRowLastColumn="0"/>
            </w:pPr>
            <w:r w:rsidRPr="00D528BF">
              <w:t>21</w:t>
            </w:r>
          </w:p>
        </w:tc>
        <w:tc>
          <w:tcPr>
            <w:tcW w:w="1475" w:type="dxa"/>
            <w:tcBorders>
              <w:top w:val="none" w:sz="0" w:space="0" w:color="auto"/>
              <w:bottom w:val="none" w:sz="0" w:space="0" w:color="auto"/>
            </w:tcBorders>
            <w:hideMark/>
          </w:tcPr>
          <w:p w:rsidR="004D0140" w:rsidRPr="00D528BF" w:rsidRDefault="004D0140" w:rsidP="00D528BF">
            <w:pPr>
              <w:pStyle w:val="Tabletext"/>
              <w:tabs>
                <w:tab w:val="decimal" w:pos="662"/>
              </w:tabs>
              <w:cnfStyle w:val="000000100000" w:firstRow="0" w:lastRow="0" w:firstColumn="0" w:lastColumn="0" w:oddVBand="0" w:evenVBand="0" w:oddHBand="1" w:evenHBand="0" w:firstRowFirstColumn="0" w:firstRowLastColumn="0" w:lastRowFirstColumn="0" w:lastRowLastColumn="0"/>
            </w:pPr>
            <w:r w:rsidRPr="00D528BF">
              <w:t>22</w:t>
            </w:r>
          </w:p>
        </w:tc>
        <w:tc>
          <w:tcPr>
            <w:tcW w:w="1422" w:type="dxa"/>
            <w:tcBorders>
              <w:top w:val="none" w:sz="0" w:space="0" w:color="auto"/>
              <w:bottom w:val="none" w:sz="0" w:space="0" w:color="auto"/>
            </w:tcBorders>
            <w:hideMark/>
          </w:tcPr>
          <w:p w:rsidR="004D0140" w:rsidRPr="00D528BF" w:rsidRDefault="004D0140" w:rsidP="00D528BF">
            <w:pPr>
              <w:pStyle w:val="Tabletext"/>
              <w:tabs>
                <w:tab w:val="decimal" w:pos="604"/>
              </w:tabs>
              <w:cnfStyle w:val="000000100000" w:firstRow="0" w:lastRow="0" w:firstColumn="0" w:lastColumn="0" w:oddVBand="0" w:evenVBand="0" w:oddHBand="1" w:evenHBand="0" w:firstRowFirstColumn="0" w:firstRowLastColumn="0" w:lastRowFirstColumn="0" w:lastRowLastColumn="0"/>
            </w:pPr>
            <w:r w:rsidRPr="00D528BF">
              <w:t>17</w:t>
            </w:r>
          </w:p>
        </w:tc>
      </w:tr>
      <w:tr w:rsidR="00674F93" w:rsidRPr="00D528BF" w:rsidTr="00D528BF">
        <w:trPr>
          <w:trHeight w:val="568"/>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tcPr>
          <w:p w:rsidR="00674F93" w:rsidRPr="00D528BF" w:rsidRDefault="00674F93" w:rsidP="00D528BF">
            <w:pPr>
              <w:pStyle w:val="Tabletext"/>
            </w:pPr>
            <w:r w:rsidRPr="00D528BF">
              <w:t>Percentage of all complaints</w:t>
            </w:r>
          </w:p>
        </w:tc>
        <w:tc>
          <w:tcPr>
            <w:tcW w:w="1616" w:type="dxa"/>
            <w:noWrap/>
          </w:tcPr>
          <w:p w:rsidR="00674F93" w:rsidRPr="00D528BF" w:rsidRDefault="00674F93" w:rsidP="00D528BF">
            <w:pPr>
              <w:pStyle w:val="Tabletext"/>
              <w:tabs>
                <w:tab w:val="decimal" w:pos="842"/>
              </w:tabs>
              <w:cnfStyle w:val="000000000000" w:firstRow="0" w:lastRow="0" w:firstColumn="0" w:lastColumn="0" w:oddVBand="0" w:evenVBand="0" w:oddHBand="0" w:evenHBand="0" w:firstRowFirstColumn="0" w:firstRowLastColumn="0" w:lastRowFirstColumn="0" w:lastRowLastColumn="0"/>
            </w:pPr>
            <w:r w:rsidRPr="00D528BF">
              <w:t>13.2%</w:t>
            </w:r>
          </w:p>
        </w:tc>
        <w:tc>
          <w:tcPr>
            <w:tcW w:w="1475" w:type="dxa"/>
            <w:noWrap/>
          </w:tcPr>
          <w:p w:rsidR="00674F93" w:rsidRPr="00D528BF" w:rsidRDefault="00674F93" w:rsidP="00D528BF">
            <w:pPr>
              <w:pStyle w:val="Tabletext"/>
              <w:tabs>
                <w:tab w:val="decimal" w:pos="662"/>
              </w:tabs>
              <w:cnfStyle w:val="000000000000" w:firstRow="0" w:lastRow="0" w:firstColumn="0" w:lastColumn="0" w:oddVBand="0" w:evenVBand="0" w:oddHBand="0" w:evenHBand="0" w:firstRowFirstColumn="0" w:firstRowLastColumn="0" w:lastRowFirstColumn="0" w:lastRowLastColumn="0"/>
            </w:pPr>
            <w:r w:rsidRPr="00D528BF">
              <w:t>12.2%</w:t>
            </w:r>
          </w:p>
        </w:tc>
        <w:tc>
          <w:tcPr>
            <w:tcW w:w="1422" w:type="dxa"/>
            <w:noWrap/>
          </w:tcPr>
          <w:p w:rsidR="00674F93" w:rsidRPr="00D528BF" w:rsidRDefault="00674F93" w:rsidP="00D528BF">
            <w:pPr>
              <w:pStyle w:val="Tabletext"/>
              <w:tabs>
                <w:tab w:val="decimal" w:pos="604"/>
              </w:tabs>
              <w:cnfStyle w:val="000000000000" w:firstRow="0" w:lastRow="0" w:firstColumn="0" w:lastColumn="0" w:oddVBand="0" w:evenVBand="0" w:oddHBand="0" w:evenHBand="0" w:firstRowFirstColumn="0" w:firstRowLastColumn="0" w:lastRowFirstColumn="0" w:lastRowLastColumn="0"/>
            </w:pPr>
            <w:r w:rsidRPr="00D528BF">
              <w:t>12.0%</w:t>
            </w:r>
          </w:p>
        </w:tc>
      </w:tr>
      <w:tr w:rsidR="004D0140" w:rsidRPr="00D528BF" w:rsidTr="00D528BF">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243" w:type="dxa"/>
            <w:tcBorders>
              <w:top w:val="none" w:sz="0" w:space="0" w:color="auto"/>
              <w:bottom w:val="none" w:sz="0" w:space="0" w:color="auto"/>
              <w:right w:val="none" w:sz="0" w:space="0" w:color="auto"/>
            </w:tcBorders>
            <w:hideMark/>
          </w:tcPr>
          <w:p w:rsidR="004D0140" w:rsidRPr="00D528BF" w:rsidRDefault="004D0140" w:rsidP="00D528BF">
            <w:pPr>
              <w:pStyle w:val="Tabletext"/>
            </w:pPr>
            <w:r w:rsidRPr="00D528BF">
              <w:t>Number of complaints received about age discrimination from peo</w:t>
            </w:r>
            <w:r w:rsidR="00D528BF">
              <w:t>ple aged 40 </w:t>
            </w:r>
            <w:r w:rsidRPr="00D528BF">
              <w:t>years and over</w:t>
            </w:r>
          </w:p>
        </w:tc>
        <w:tc>
          <w:tcPr>
            <w:tcW w:w="1616" w:type="dxa"/>
            <w:tcBorders>
              <w:top w:val="none" w:sz="0" w:space="0" w:color="auto"/>
              <w:bottom w:val="none" w:sz="0" w:space="0" w:color="auto"/>
            </w:tcBorders>
            <w:noWrap/>
            <w:hideMark/>
          </w:tcPr>
          <w:p w:rsidR="004D0140" w:rsidRPr="00D528BF" w:rsidRDefault="004D0140" w:rsidP="00D528BF">
            <w:pPr>
              <w:pStyle w:val="Tabletext"/>
              <w:tabs>
                <w:tab w:val="decimal" w:pos="842"/>
              </w:tabs>
              <w:cnfStyle w:val="000000100000" w:firstRow="0" w:lastRow="0" w:firstColumn="0" w:lastColumn="0" w:oddVBand="0" w:evenVBand="0" w:oddHBand="1" w:evenHBand="0" w:firstRowFirstColumn="0" w:firstRowLastColumn="0" w:lastRowFirstColumn="0" w:lastRowLastColumn="0"/>
            </w:pPr>
            <w:r w:rsidRPr="00D528BF">
              <w:t>12</w:t>
            </w:r>
          </w:p>
        </w:tc>
        <w:tc>
          <w:tcPr>
            <w:tcW w:w="1475" w:type="dxa"/>
            <w:tcBorders>
              <w:top w:val="none" w:sz="0" w:space="0" w:color="auto"/>
              <w:bottom w:val="none" w:sz="0" w:space="0" w:color="auto"/>
            </w:tcBorders>
            <w:noWrap/>
            <w:hideMark/>
          </w:tcPr>
          <w:p w:rsidR="004D0140" w:rsidRPr="00D528BF" w:rsidRDefault="004D0140" w:rsidP="00D528BF">
            <w:pPr>
              <w:pStyle w:val="Tabletext"/>
              <w:tabs>
                <w:tab w:val="decimal" w:pos="662"/>
              </w:tabs>
              <w:cnfStyle w:val="000000100000" w:firstRow="0" w:lastRow="0" w:firstColumn="0" w:lastColumn="0" w:oddVBand="0" w:evenVBand="0" w:oddHBand="1" w:evenHBand="0" w:firstRowFirstColumn="0" w:firstRowLastColumn="0" w:lastRowFirstColumn="0" w:lastRowLastColumn="0"/>
            </w:pPr>
            <w:r w:rsidRPr="00D528BF">
              <w:t>17</w:t>
            </w:r>
          </w:p>
        </w:tc>
        <w:tc>
          <w:tcPr>
            <w:tcW w:w="1422" w:type="dxa"/>
            <w:tcBorders>
              <w:top w:val="none" w:sz="0" w:space="0" w:color="auto"/>
              <w:bottom w:val="none" w:sz="0" w:space="0" w:color="auto"/>
            </w:tcBorders>
            <w:noWrap/>
            <w:hideMark/>
          </w:tcPr>
          <w:p w:rsidR="004D0140" w:rsidRPr="00D528BF" w:rsidRDefault="004D0140" w:rsidP="00D528BF">
            <w:pPr>
              <w:pStyle w:val="Tabletext"/>
              <w:tabs>
                <w:tab w:val="decimal" w:pos="604"/>
              </w:tabs>
              <w:cnfStyle w:val="000000100000" w:firstRow="0" w:lastRow="0" w:firstColumn="0" w:lastColumn="0" w:oddVBand="0" w:evenVBand="0" w:oddHBand="1" w:evenHBand="0" w:firstRowFirstColumn="0" w:firstRowLastColumn="0" w:lastRowFirstColumn="0" w:lastRowLastColumn="0"/>
            </w:pPr>
            <w:r w:rsidRPr="00D528BF">
              <w:t>16</w:t>
            </w:r>
          </w:p>
        </w:tc>
      </w:tr>
      <w:tr w:rsidR="004D0140" w:rsidRPr="00D528BF" w:rsidTr="00D528BF">
        <w:trPr>
          <w:trHeight w:val="815"/>
        </w:trPr>
        <w:tc>
          <w:tcPr>
            <w:cnfStyle w:val="001000000000" w:firstRow="0" w:lastRow="0" w:firstColumn="1" w:lastColumn="0" w:oddVBand="0" w:evenVBand="0" w:oddHBand="0" w:evenHBand="0" w:firstRowFirstColumn="0" w:firstRowLastColumn="0" w:lastRowFirstColumn="0" w:lastRowLastColumn="0"/>
            <w:tcW w:w="4243" w:type="dxa"/>
            <w:tcBorders>
              <w:bottom w:val="dotted" w:sz="4" w:space="0" w:color="auto"/>
              <w:right w:val="none" w:sz="0" w:space="0" w:color="auto"/>
            </w:tcBorders>
            <w:hideMark/>
          </w:tcPr>
          <w:p w:rsidR="004D0140" w:rsidRPr="00D528BF" w:rsidRDefault="004D0140" w:rsidP="00D528BF">
            <w:pPr>
              <w:pStyle w:val="Tabletext"/>
            </w:pPr>
            <w:r w:rsidRPr="00D528BF">
              <w:t>Number of complaints received f</w:t>
            </w:r>
            <w:r w:rsidR="00D528BF">
              <w:t>r</w:t>
            </w:r>
            <w:r w:rsidRPr="00D528BF">
              <w:t>om people aged 40 years and over about age discrimination in the area of employment</w:t>
            </w:r>
          </w:p>
        </w:tc>
        <w:tc>
          <w:tcPr>
            <w:tcW w:w="1616" w:type="dxa"/>
            <w:tcBorders>
              <w:bottom w:val="dotted" w:sz="4" w:space="0" w:color="auto"/>
            </w:tcBorders>
            <w:noWrap/>
            <w:hideMark/>
          </w:tcPr>
          <w:p w:rsidR="004D0140" w:rsidRPr="00D528BF" w:rsidRDefault="004D0140" w:rsidP="00D528BF">
            <w:pPr>
              <w:pStyle w:val="Tabletext"/>
              <w:tabs>
                <w:tab w:val="decimal" w:pos="842"/>
              </w:tabs>
              <w:cnfStyle w:val="000000000000" w:firstRow="0" w:lastRow="0" w:firstColumn="0" w:lastColumn="0" w:oddVBand="0" w:evenVBand="0" w:oddHBand="0" w:evenHBand="0" w:firstRowFirstColumn="0" w:firstRowLastColumn="0" w:lastRowFirstColumn="0" w:lastRowLastColumn="0"/>
            </w:pPr>
            <w:r w:rsidRPr="00D528BF">
              <w:t>9</w:t>
            </w:r>
          </w:p>
        </w:tc>
        <w:tc>
          <w:tcPr>
            <w:tcW w:w="1475" w:type="dxa"/>
            <w:tcBorders>
              <w:bottom w:val="dotted" w:sz="4" w:space="0" w:color="auto"/>
            </w:tcBorders>
            <w:noWrap/>
            <w:hideMark/>
          </w:tcPr>
          <w:p w:rsidR="004D0140" w:rsidRPr="00D528BF" w:rsidRDefault="004D0140" w:rsidP="00D528BF">
            <w:pPr>
              <w:pStyle w:val="Tabletext"/>
              <w:tabs>
                <w:tab w:val="decimal" w:pos="662"/>
              </w:tabs>
              <w:cnfStyle w:val="000000000000" w:firstRow="0" w:lastRow="0" w:firstColumn="0" w:lastColumn="0" w:oddVBand="0" w:evenVBand="0" w:oddHBand="0" w:evenHBand="0" w:firstRowFirstColumn="0" w:firstRowLastColumn="0" w:lastRowFirstColumn="0" w:lastRowLastColumn="0"/>
            </w:pPr>
            <w:r w:rsidRPr="00D528BF">
              <w:t>6</w:t>
            </w:r>
          </w:p>
        </w:tc>
        <w:tc>
          <w:tcPr>
            <w:tcW w:w="1422" w:type="dxa"/>
            <w:tcBorders>
              <w:bottom w:val="dotted" w:sz="4" w:space="0" w:color="auto"/>
            </w:tcBorders>
            <w:noWrap/>
            <w:hideMark/>
          </w:tcPr>
          <w:p w:rsidR="004D0140" w:rsidRPr="00D528BF" w:rsidRDefault="004D0140" w:rsidP="00D528BF">
            <w:pPr>
              <w:pStyle w:val="Tabletext"/>
              <w:tabs>
                <w:tab w:val="decimal" w:pos="604"/>
              </w:tabs>
              <w:cnfStyle w:val="000000000000" w:firstRow="0" w:lastRow="0" w:firstColumn="0" w:lastColumn="0" w:oddVBand="0" w:evenVBand="0" w:oddHBand="0" w:evenHBand="0" w:firstRowFirstColumn="0" w:firstRowLastColumn="0" w:lastRowFirstColumn="0" w:lastRowLastColumn="0"/>
            </w:pPr>
            <w:r w:rsidRPr="00D528BF">
              <w:t>7</w:t>
            </w:r>
          </w:p>
        </w:tc>
      </w:tr>
      <w:tr w:rsidR="00D528BF" w:rsidRPr="00D528BF" w:rsidTr="00D528BF">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8756" w:type="dxa"/>
            <w:gridSpan w:val="4"/>
            <w:tcBorders>
              <w:top w:val="dotted" w:sz="4" w:space="0" w:color="auto"/>
              <w:bottom w:val="dotted" w:sz="4" w:space="0" w:color="auto"/>
              <w:right w:val="nil"/>
            </w:tcBorders>
            <w:hideMark/>
          </w:tcPr>
          <w:p w:rsidR="00D528BF" w:rsidRPr="00D528BF" w:rsidRDefault="00D528BF" w:rsidP="00D528BF">
            <w:pPr>
              <w:pStyle w:val="Tabletext"/>
              <w:rPr>
                <w:b/>
              </w:rPr>
            </w:pPr>
            <w:r w:rsidRPr="00D528BF">
              <w:rPr>
                <w:b/>
              </w:rPr>
              <w:t>In relation to complaints received from people aged 40 years and over about age discrimination in employment: the stage of employment the complaint related to</w:t>
            </w:r>
          </w:p>
        </w:tc>
      </w:tr>
      <w:tr w:rsidR="004D0140" w:rsidRPr="00D528BF" w:rsidTr="00D528BF">
        <w:trPr>
          <w:trHeight w:val="280"/>
        </w:trPr>
        <w:tc>
          <w:tcPr>
            <w:cnfStyle w:val="001000000000" w:firstRow="0" w:lastRow="0" w:firstColumn="1" w:lastColumn="0" w:oddVBand="0" w:evenVBand="0" w:oddHBand="0" w:evenHBand="0" w:firstRowFirstColumn="0" w:firstRowLastColumn="0" w:lastRowFirstColumn="0" w:lastRowLastColumn="0"/>
            <w:tcW w:w="4243" w:type="dxa"/>
            <w:tcBorders>
              <w:top w:val="dotted" w:sz="4" w:space="0" w:color="auto"/>
              <w:right w:val="none" w:sz="0" w:space="0" w:color="auto"/>
            </w:tcBorders>
            <w:hideMark/>
          </w:tcPr>
          <w:p w:rsidR="004D0140" w:rsidRPr="00D528BF" w:rsidRDefault="004D0140" w:rsidP="00D528BF">
            <w:pPr>
              <w:pStyle w:val="Tabletext"/>
            </w:pPr>
            <w:r w:rsidRPr="00D528BF">
              <w:t>While looking for employment</w:t>
            </w:r>
          </w:p>
        </w:tc>
        <w:tc>
          <w:tcPr>
            <w:tcW w:w="1616" w:type="dxa"/>
            <w:tcBorders>
              <w:top w:val="dotted" w:sz="4" w:space="0" w:color="auto"/>
            </w:tcBorders>
            <w:noWrap/>
            <w:hideMark/>
          </w:tcPr>
          <w:p w:rsidR="004D0140" w:rsidRPr="00D528BF" w:rsidRDefault="004D0140" w:rsidP="00D528BF">
            <w:pPr>
              <w:pStyle w:val="Tabletext"/>
              <w:tabs>
                <w:tab w:val="decimal" w:pos="842"/>
              </w:tabs>
              <w:cnfStyle w:val="000000000000" w:firstRow="0" w:lastRow="0" w:firstColumn="0" w:lastColumn="0" w:oddVBand="0" w:evenVBand="0" w:oddHBand="0" w:evenHBand="0" w:firstRowFirstColumn="0" w:firstRowLastColumn="0" w:lastRowFirstColumn="0" w:lastRowLastColumn="0"/>
            </w:pPr>
            <w:r w:rsidRPr="00D528BF">
              <w:t>2</w:t>
            </w:r>
          </w:p>
        </w:tc>
        <w:tc>
          <w:tcPr>
            <w:tcW w:w="1475" w:type="dxa"/>
            <w:tcBorders>
              <w:top w:val="dotted" w:sz="4" w:space="0" w:color="auto"/>
            </w:tcBorders>
            <w:noWrap/>
            <w:hideMark/>
          </w:tcPr>
          <w:p w:rsidR="004D0140" w:rsidRPr="00D528BF" w:rsidRDefault="004D0140" w:rsidP="00D528BF">
            <w:pPr>
              <w:pStyle w:val="Tabletext"/>
              <w:tabs>
                <w:tab w:val="decimal" w:pos="662"/>
              </w:tabs>
              <w:cnfStyle w:val="000000000000" w:firstRow="0" w:lastRow="0" w:firstColumn="0" w:lastColumn="0" w:oddVBand="0" w:evenVBand="0" w:oddHBand="0" w:evenHBand="0" w:firstRowFirstColumn="0" w:firstRowLastColumn="0" w:lastRowFirstColumn="0" w:lastRowLastColumn="0"/>
            </w:pPr>
            <w:r w:rsidRPr="00D528BF">
              <w:t>2</w:t>
            </w:r>
          </w:p>
        </w:tc>
        <w:tc>
          <w:tcPr>
            <w:tcW w:w="1422" w:type="dxa"/>
            <w:tcBorders>
              <w:top w:val="dotted" w:sz="4" w:space="0" w:color="auto"/>
            </w:tcBorders>
            <w:noWrap/>
            <w:hideMark/>
          </w:tcPr>
          <w:p w:rsidR="004D0140" w:rsidRPr="00D528BF" w:rsidRDefault="004D0140" w:rsidP="00D528BF">
            <w:pPr>
              <w:pStyle w:val="Tabletext"/>
              <w:tabs>
                <w:tab w:val="decimal" w:pos="604"/>
              </w:tabs>
              <w:cnfStyle w:val="000000000000" w:firstRow="0" w:lastRow="0" w:firstColumn="0" w:lastColumn="0" w:oddVBand="0" w:evenVBand="0" w:oddHBand="0" w:evenHBand="0" w:firstRowFirstColumn="0" w:firstRowLastColumn="0" w:lastRowFirstColumn="0" w:lastRowLastColumn="0"/>
            </w:pPr>
            <w:r w:rsidRPr="00D528BF">
              <w:t>0</w:t>
            </w:r>
          </w:p>
        </w:tc>
      </w:tr>
      <w:tr w:rsidR="004D0140" w:rsidRPr="00D528BF" w:rsidTr="00D528B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243" w:type="dxa"/>
            <w:tcBorders>
              <w:top w:val="none" w:sz="0" w:space="0" w:color="auto"/>
              <w:bottom w:val="none" w:sz="0" w:space="0" w:color="auto"/>
              <w:right w:val="none" w:sz="0" w:space="0" w:color="auto"/>
            </w:tcBorders>
            <w:hideMark/>
          </w:tcPr>
          <w:p w:rsidR="004D0140" w:rsidRPr="00D528BF" w:rsidRDefault="004D0140" w:rsidP="00D528BF">
            <w:pPr>
              <w:pStyle w:val="Tabletext"/>
            </w:pPr>
            <w:r w:rsidRPr="00D528BF">
              <w:lastRenderedPageBreak/>
              <w:t>During employment</w:t>
            </w:r>
          </w:p>
        </w:tc>
        <w:tc>
          <w:tcPr>
            <w:tcW w:w="1616" w:type="dxa"/>
            <w:tcBorders>
              <w:top w:val="none" w:sz="0" w:space="0" w:color="auto"/>
              <w:bottom w:val="none" w:sz="0" w:space="0" w:color="auto"/>
            </w:tcBorders>
            <w:noWrap/>
            <w:hideMark/>
          </w:tcPr>
          <w:p w:rsidR="004D0140" w:rsidRPr="00D528BF" w:rsidRDefault="004D0140" w:rsidP="00D528BF">
            <w:pPr>
              <w:pStyle w:val="Tabletext"/>
              <w:tabs>
                <w:tab w:val="decimal" w:pos="842"/>
              </w:tabs>
              <w:cnfStyle w:val="000000100000" w:firstRow="0" w:lastRow="0" w:firstColumn="0" w:lastColumn="0" w:oddVBand="0" w:evenVBand="0" w:oddHBand="1" w:evenHBand="0" w:firstRowFirstColumn="0" w:firstRowLastColumn="0" w:lastRowFirstColumn="0" w:lastRowLastColumn="0"/>
            </w:pPr>
            <w:r w:rsidRPr="00D528BF">
              <w:t>6</w:t>
            </w:r>
          </w:p>
        </w:tc>
        <w:tc>
          <w:tcPr>
            <w:tcW w:w="1475" w:type="dxa"/>
            <w:tcBorders>
              <w:top w:val="none" w:sz="0" w:space="0" w:color="auto"/>
              <w:bottom w:val="none" w:sz="0" w:space="0" w:color="auto"/>
            </w:tcBorders>
            <w:noWrap/>
            <w:hideMark/>
          </w:tcPr>
          <w:p w:rsidR="004D0140" w:rsidRPr="00D528BF" w:rsidRDefault="004D0140" w:rsidP="00D528BF">
            <w:pPr>
              <w:pStyle w:val="Tabletext"/>
              <w:tabs>
                <w:tab w:val="decimal" w:pos="662"/>
              </w:tabs>
              <w:cnfStyle w:val="000000100000" w:firstRow="0" w:lastRow="0" w:firstColumn="0" w:lastColumn="0" w:oddVBand="0" w:evenVBand="0" w:oddHBand="1" w:evenHBand="0" w:firstRowFirstColumn="0" w:firstRowLastColumn="0" w:lastRowFirstColumn="0" w:lastRowLastColumn="0"/>
            </w:pPr>
            <w:r w:rsidRPr="00D528BF">
              <w:t>3</w:t>
            </w:r>
          </w:p>
        </w:tc>
        <w:tc>
          <w:tcPr>
            <w:tcW w:w="1422" w:type="dxa"/>
            <w:tcBorders>
              <w:top w:val="none" w:sz="0" w:space="0" w:color="auto"/>
              <w:bottom w:val="none" w:sz="0" w:space="0" w:color="auto"/>
            </w:tcBorders>
            <w:noWrap/>
            <w:hideMark/>
          </w:tcPr>
          <w:p w:rsidR="004D0140" w:rsidRPr="00D528BF" w:rsidRDefault="004D0140" w:rsidP="00D528BF">
            <w:pPr>
              <w:pStyle w:val="Tabletext"/>
              <w:tabs>
                <w:tab w:val="decimal" w:pos="604"/>
              </w:tabs>
              <w:cnfStyle w:val="000000100000" w:firstRow="0" w:lastRow="0" w:firstColumn="0" w:lastColumn="0" w:oddVBand="0" w:evenVBand="0" w:oddHBand="1" w:evenHBand="0" w:firstRowFirstColumn="0" w:firstRowLastColumn="0" w:lastRowFirstColumn="0" w:lastRowLastColumn="0"/>
            </w:pPr>
            <w:r w:rsidRPr="00D528BF">
              <w:t>5</w:t>
            </w:r>
          </w:p>
        </w:tc>
      </w:tr>
      <w:tr w:rsidR="004D0140" w:rsidRPr="00D528BF" w:rsidTr="00D528BF">
        <w:trPr>
          <w:trHeight w:val="280"/>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hideMark/>
          </w:tcPr>
          <w:p w:rsidR="004D0140" w:rsidRPr="00D528BF" w:rsidRDefault="004D0140" w:rsidP="00D528BF">
            <w:pPr>
              <w:pStyle w:val="Tabletext"/>
            </w:pPr>
            <w:r w:rsidRPr="00D528BF">
              <w:t>End of employment/Termination</w:t>
            </w:r>
          </w:p>
        </w:tc>
        <w:tc>
          <w:tcPr>
            <w:tcW w:w="1616" w:type="dxa"/>
            <w:noWrap/>
            <w:hideMark/>
          </w:tcPr>
          <w:p w:rsidR="004D0140" w:rsidRPr="00D528BF" w:rsidRDefault="004D0140" w:rsidP="00D528BF">
            <w:pPr>
              <w:pStyle w:val="Tabletext"/>
              <w:tabs>
                <w:tab w:val="decimal" w:pos="842"/>
              </w:tabs>
              <w:cnfStyle w:val="000000000000" w:firstRow="0" w:lastRow="0" w:firstColumn="0" w:lastColumn="0" w:oddVBand="0" w:evenVBand="0" w:oddHBand="0" w:evenHBand="0" w:firstRowFirstColumn="0" w:firstRowLastColumn="0" w:lastRowFirstColumn="0" w:lastRowLastColumn="0"/>
            </w:pPr>
            <w:r w:rsidRPr="00D528BF">
              <w:t>3</w:t>
            </w:r>
          </w:p>
        </w:tc>
        <w:tc>
          <w:tcPr>
            <w:tcW w:w="1475" w:type="dxa"/>
            <w:noWrap/>
            <w:hideMark/>
          </w:tcPr>
          <w:p w:rsidR="004D0140" w:rsidRPr="00D528BF" w:rsidRDefault="004D0140" w:rsidP="00D528BF">
            <w:pPr>
              <w:pStyle w:val="Tabletext"/>
              <w:tabs>
                <w:tab w:val="decimal" w:pos="662"/>
              </w:tabs>
              <w:cnfStyle w:val="000000000000" w:firstRow="0" w:lastRow="0" w:firstColumn="0" w:lastColumn="0" w:oddVBand="0" w:evenVBand="0" w:oddHBand="0" w:evenHBand="0" w:firstRowFirstColumn="0" w:firstRowLastColumn="0" w:lastRowFirstColumn="0" w:lastRowLastColumn="0"/>
            </w:pPr>
            <w:r w:rsidRPr="00D528BF">
              <w:t>3</w:t>
            </w:r>
          </w:p>
        </w:tc>
        <w:tc>
          <w:tcPr>
            <w:tcW w:w="1422" w:type="dxa"/>
            <w:noWrap/>
            <w:hideMark/>
          </w:tcPr>
          <w:p w:rsidR="004D0140" w:rsidRPr="00D528BF" w:rsidRDefault="004D0140" w:rsidP="00D528BF">
            <w:pPr>
              <w:pStyle w:val="Tabletext"/>
              <w:tabs>
                <w:tab w:val="decimal" w:pos="604"/>
              </w:tabs>
              <w:cnfStyle w:val="000000000000" w:firstRow="0" w:lastRow="0" w:firstColumn="0" w:lastColumn="0" w:oddVBand="0" w:evenVBand="0" w:oddHBand="0" w:evenHBand="0" w:firstRowFirstColumn="0" w:firstRowLastColumn="0" w:lastRowFirstColumn="0" w:lastRowLastColumn="0"/>
            </w:pPr>
            <w:r w:rsidRPr="00D528BF">
              <w:t>2</w:t>
            </w:r>
          </w:p>
        </w:tc>
      </w:tr>
      <w:tr w:rsidR="004D0140" w:rsidRPr="00D528BF" w:rsidTr="00D528BF">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4243" w:type="dxa"/>
            <w:tcBorders>
              <w:top w:val="none" w:sz="0" w:space="0" w:color="auto"/>
              <w:bottom w:val="dotted" w:sz="4" w:space="0" w:color="auto"/>
              <w:right w:val="none" w:sz="0" w:space="0" w:color="auto"/>
            </w:tcBorders>
            <w:hideMark/>
          </w:tcPr>
          <w:p w:rsidR="004D0140" w:rsidRPr="00D528BF" w:rsidRDefault="004D0140" w:rsidP="00D528BF">
            <w:pPr>
              <w:pStyle w:val="Tabletext"/>
            </w:pPr>
            <w:r w:rsidRPr="00D528BF">
              <w:t>Number of complaints about age discrimination in employment finalised in period</w:t>
            </w:r>
          </w:p>
        </w:tc>
        <w:tc>
          <w:tcPr>
            <w:tcW w:w="1616" w:type="dxa"/>
            <w:tcBorders>
              <w:top w:val="none" w:sz="0" w:space="0" w:color="auto"/>
              <w:bottom w:val="dotted" w:sz="4" w:space="0" w:color="auto"/>
            </w:tcBorders>
            <w:noWrap/>
            <w:hideMark/>
          </w:tcPr>
          <w:p w:rsidR="004D0140" w:rsidRPr="00D528BF" w:rsidRDefault="004D0140" w:rsidP="00D528BF">
            <w:pPr>
              <w:pStyle w:val="Tabletext"/>
              <w:tabs>
                <w:tab w:val="decimal" w:pos="842"/>
              </w:tabs>
              <w:cnfStyle w:val="000000100000" w:firstRow="0" w:lastRow="0" w:firstColumn="0" w:lastColumn="0" w:oddVBand="0" w:evenVBand="0" w:oddHBand="1" w:evenHBand="0" w:firstRowFirstColumn="0" w:firstRowLastColumn="0" w:lastRowFirstColumn="0" w:lastRowLastColumn="0"/>
            </w:pPr>
            <w:r w:rsidRPr="00D528BF">
              <w:t>8</w:t>
            </w:r>
          </w:p>
        </w:tc>
        <w:tc>
          <w:tcPr>
            <w:tcW w:w="1475" w:type="dxa"/>
            <w:tcBorders>
              <w:top w:val="none" w:sz="0" w:space="0" w:color="auto"/>
              <w:bottom w:val="dotted" w:sz="4" w:space="0" w:color="auto"/>
            </w:tcBorders>
            <w:noWrap/>
            <w:hideMark/>
          </w:tcPr>
          <w:p w:rsidR="004D0140" w:rsidRPr="00D528BF" w:rsidRDefault="004D0140" w:rsidP="00D528BF">
            <w:pPr>
              <w:pStyle w:val="Tabletext"/>
              <w:tabs>
                <w:tab w:val="decimal" w:pos="662"/>
              </w:tabs>
              <w:cnfStyle w:val="000000100000" w:firstRow="0" w:lastRow="0" w:firstColumn="0" w:lastColumn="0" w:oddVBand="0" w:evenVBand="0" w:oddHBand="1" w:evenHBand="0" w:firstRowFirstColumn="0" w:firstRowLastColumn="0" w:lastRowFirstColumn="0" w:lastRowLastColumn="0"/>
            </w:pPr>
            <w:r w:rsidRPr="00D528BF">
              <w:t>7</w:t>
            </w:r>
          </w:p>
        </w:tc>
        <w:tc>
          <w:tcPr>
            <w:tcW w:w="1422" w:type="dxa"/>
            <w:tcBorders>
              <w:top w:val="none" w:sz="0" w:space="0" w:color="auto"/>
              <w:bottom w:val="dotted" w:sz="4" w:space="0" w:color="auto"/>
            </w:tcBorders>
            <w:noWrap/>
            <w:hideMark/>
          </w:tcPr>
          <w:p w:rsidR="004D0140" w:rsidRPr="00D528BF" w:rsidRDefault="004D0140" w:rsidP="00D528BF">
            <w:pPr>
              <w:pStyle w:val="Tabletext"/>
              <w:tabs>
                <w:tab w:val="decimal" w:pos="604"/>
              </w:tabs>
              <w:cnfStyle w:val="000000100000" w:firstRow="0" w:lastRow="0" w:firstColumn="0" w:lastColumn="0" w:oddVBand="0" w:evenVBand="0" w:oddHBand="1" w:evenHBand="0" w:firstRowFirstColumn="0" w:firstRowLastColumn="0" w:lastRowFirstColumn="0" w:lastRowLastColumn="0"/>
            </w:pPr>
            <w:r w:rsidRPr="00D528BF">
              <w:t>8</w:t>
            </w:r>
          </w:p>
        </w:tc>
      </w:tr>
      <w:tr w:rsidR="00D528BF" w:rsidRPr="00D528BF" w:rsidTr="00D528BF">
        <w:trPr>
          <w:trHeight w:val="512"/>
        </w:trPr>
        <w:tc>
          <w:tcPr>
            <w:cnfStyle w:val="001000000000" w:firstRow="0" w:lastRow="0" w:firstColumn="1" w:lastColumn="0" w:oddVBand="0" w:evenVBand="0" w:oddHBand="0" w:evenHBand="0" w:firstRowFirstColumn="0" w:firstRowLastColumn="0" w:lastRowFirstColumn="0" w:lastRowLastColumn="0"/>
            <w:tcW w:w="8756" w:type="dxa"/>
            <w:gridSpan w:val="4"/>
            <w:tcBorders>
              <w:top w:val="dotted" w:sz="4" w:space="0" w:color="auto"/>
              <w:bottom w:val="dotted" w:sz="4" w:space="0" w:color="auto"/>
              <w:right w:val="nil"/>
            </w:tcBorders>
            <w:hideMark/>
          </w:tcPr>
          <w:p w:rsidR="00D528BF" w:rsidRPr="00D528BF" w:rsidRDefault="00D528BF" w:rsidP="00D528BF">
            <w:pPr>
              <w:pStyle w:val="Tabletext"/>
              <w:rPr>
                <w:b/>
              </w:rPr>
            </w:pPr>
            <w:r w:rsidRPr="00D528BF">
              <w:rPr>
                <w:b/>
              </w:rPr>
              <w:t>Outcomes of complaints about age discrimination in employment finalised in period</w:t>
            </w:r>
          </w:p>
        </w:tc>
      </w:tr>
      <w:tr w:rsidR="004D0140" w:rsidRPr="00D528BF" w:rsidTr="00D528B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243" w:type="dxa"/>
            <w:tcBorders>
              <w:top w:val="dotted" w:sz="4" w:space="0" w:color="auto"/>
              <w:bottom w:val="none" w:sz="0" w:space="0" w:color="auto"/>
              <w:right w:val="none" w:sz="0" w:space="0" w:color="auto"/>
            </w:tcBorders>
            <w:hideMark/>
          </w:tcPr>
          <w:p w:rsidR="004D0140" w:rsidRPr="00D528BF" w:rsidRDefault="004D0140" w:rsidP="00D528BF">
            <w:pPr>
              <w:pStyle w:val="Tabletext"/>
            </w:pPr>
            <w:r w:rsidRPr="00D528BF">
              <w:t>Conciliated</w:t>
            </w:r>
          </w:p>
        </w:tc>
        <w:tc>
          <w:tcPr>
            <w:tcW w:w="1616" w:type="dxa"/>
            <w:tcBorders>
              <w:top w:val="dotted" w:sz="4" w:space="0" w:color="auto"/>
              <w:bottom w:val="none" w:sz="0" w:space="0" w:color="auto"/>
            </w:tcBorders>
            <w:noWrap/>
            <w:hideMark/>
          </w:tcPr>
          <w:p w:rsidR="004D0140" w:rsidRPr="00D528BF" w:rsidRDefault="004D0140" w:rsidP="00D528BF">
            <w:pPr>
              <w:pStyle w:val="Tabletext"/>
              <w:tabs>
                <w:tab w:val="decimal" w:pos="842"/>
              </w:tabs>
              <w:cnfStyle w:val="000000100000" w:firstRow="0" w:lastRow="0" w:firstColumn="0" w:lastColumn="0" w:oddVBand="0" w:evenVBand="0" w:oddHBand="1" w:evenHBand="0" w:firstRowFirstColumn="0" w:firstRowLastColumn="0" w:lastRowFirstColumn="0" w:lastRowLastColumn="0"/>
            </w:pPr>
            <w:r w:rsidRPr="00D528BF">
              <w:t>4</w:t>
            </w:r>
          </w:p>
        </w:tc>
        <w:tc>
          <w:tcPr>
            <w:tcW w:w="1475" w:type="dxa"/>
            <w:tcBorders>
              <w:top w:val="dotted" w:sz="4" w:space="0" w:color="auto"/>
              <w:bottom w:val="none" w:sz="0" w:space="0" w:color="auto"/>
            </w:tcBorders>
            <w:noWrap/>
            <w:hideMark/>
          </w:tcPr>
          <w:p w:rsidR="004D0140" w:rsidRPr="00D528BF" w:rsidRDefault="004D0140" w:rsidP="00D528BF">
            <w:pPr>
              <w:pStyle w:val="Tabletext"/>
              <w:tabs>
                <w:tab w:val="decimal" w:pos="662"/>
              </w:tabs>
              <w:cnfStyle w:val="000000100000" w:firstRow="0" w:lastRow="0" w:firstColumn="0" w:lastColumn="0" w:oddVBand="0" w:evenVBand="0" w:oddHBand="1" w:evenHBand="0" w:firstRowFirstColumn="0" w:firstRowLastColumn="0" w:lastRowFirstColumn="0" w:lastRowLastColumn="0"/>
            </w:pPr>
            <w:r w:rsidRPr="00D528BF">
              <w:t>3</w:t>
            </w:r>
          </w:p>
        </w:tc>
        <w:tc>
          <w:tcPr>
            <w:tcW w:w="1422" w:type="dxa"/>
            <w:tcBorders>
              <w:top w:val="dotted" w:sz="4" w:space="0" w:color="auto"/>
              <w:bottom w:val="none" w:sz="0" w:space="0" w:color="auto"/>
            </w:tcBorders>
            <w:noWrap/>
            <w:hideMark/>
          </w:tcPr>
          <w:p w:rsidR="004D0140" w:rsidRPr="00D528BF" w:rsidRDefault="004D0140" w:rsidP="00D528BF">
            <w:pPr>
              <w:pStyle w:val="Tabletext"/>
              <w:tabs>
                <w:tab w:val="decimal" w:pos="604"/>
              </w:tabs>
              <w:cnfStyle w:val="000000100000" w:firstRow="0" w:lastRow="0" w:firstColumn="0" w:lastColumn="0" w:oddVBand="0" w:evenVBand="0" w:oddHBand="1" w:evenHBand="0" w:firstRowFirstColumn="0" w:firstRowLastColumn="0" w:lastRowFirstColumn="0" w:lastRowLastColumn="0"/>
            </w:pPr>
            <w:r w:rsidRPr="00D528BF">
              <w:t>6</w:t>
            </w:r>
          </w:p>
        </w:tc>
      </w:tr>
      <w:tr w:rsidR="004D0140" w:rsidRPr="00D528BF" w:rsidTr="00D528BF">
        <w:trPr>
          <w:trHeight w:val="546"/>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hideMark/>
          </w:tcPr>
          <w:p w:rsidR="004D0140" w:rsidRPr="00D528BF" w:rsidRDefault="004D0140" w:rsidP="00D528BF">
            <w:pPr>
              <w:pStyle w:val="Tabletext"/>
            </w:pPr>
            <w:r w:rsidRPr="00D528BF">
              <w:t>Terminated - No reasonable prospect of conciliation/Referred to tribunal</w:t>
            </w:r>
          </w:p>
        </w:tc>
        <w:tc>
          <w:tcPr>
            <w:tcW w:w="1616" w:type="dxa"/>
            <w:noWrap/>
            <w:hideMark/>
          </w:tcPr>
          <w:p w:rsidR="004D0140" w:rsidRPr="00D528BF" w:rsidRDefault="004D0140" w:rsidP="00D528BF">
            <w:pPr>
              <w:pStyle w:val="Tabletext"/>
              <w:tabs>
                <w:tab w:val="decimal" w:pos="842"/>
              </w:tabs>
              <w:cnfStyle w:val="000000000000" w:firstRow="0" w:lastRow="0" w:firstColumn="0" w:lastColumn="0" w:oddVBand="0" w:evenVBand="0" w:oddHBand="0" w:evenHBand="0" w:firstRowFirstColumn="0" w:firstRowLastColumn="0" w:lastRowFirstColumn="0" w:lastRowLastColumn="0"/>
            </w:pPr>
            <w:r w:rsidRPr="00D528BF">
              <w:t>0</w:t>
            </w:r>
          </w:p>
        </w:tc>
        <w:tc>
          <w:tcPr>
            <w:tcW w:w="1475" w:type="dxa"/>
            <w:noWrap/>
            <w:hideMark/>
          </w:tcPr>
          <w:p w:rsidR="004D0140" w:rsidRPr="00D528BF" w:rsidRDefault="004D0140" w:rsidP="00D528BF">
            <w:pPr>
              <w:pStyle w:val="Tabletext"/>
              <w:tabs>
                <w:tab w:val="decimal" w:pos="662"/>
              </w:tabs>
              <w:cnfStyle w:val="000000000000" w:firstRow="0" w:lastRow="0" w:firstColumn="0" w:lastColumn="0" w:oddVBand="0" w:evenVBand="0" w:oddHBand="0" w:evenHBand="0" w:firstRowFirstColumn="0" w:firstRowLastColumn="0" w:lastRowFirstColumn="0" w:lastRowLastColumn="0"/>
            </w:pPr>
            <w:r w:rsidRPr="00D528BF">
              <w:t>1</w:t>
            </w:r>
          </w:p>
        </w:tc>
        <w:tc>
          <w:tcPr>
            <w:tcW w:w="1422" w:type="dxa"/>
            <w:noWrap/>
            <w:hideMark/>
          </w:tcPr>
          <w:p w:rsidR="004D0140" w:rsidRPr="00D528BF" w:rsidRDefault="004D0140" w:rsidP="00D528BF">
            <w:pPr>
              <w:pStyle w:val="Tabletext"/>
              <w:tabs>
                <w:tab w:val="decimal" w:pos="604"/>
              </w:tabs>
              <w:cnfStyle w:val="000000000000" w:firstRow="0" w:lastRow="0" w:firstColumn="0" w:lastColumn="0" w:oddVBand="0" w:evenVBand="0" w:oddHBand="0" w:evenHBand="0" w:firstRowFirstColumn="0" w:firstRowLastColumn="0" w:lastRowFirstColumn="0" w:lastRowLastColumn="0"/>
            </w:pPr>
            <w:r w:rsidRPr="00D528BF">
              <w:t>1</w:t>
            </w:r>
          </w:p>
        </w:tc>
      </w:tr>
      <w:tr w:rsidR="004D0140" w:rsidRPr="00D528BF" w:rsidTr="00D528BF">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243" w:type="dxa"/>
            <w:tcBorders>
              <w:top w:val="none" w:sz="0" w:space="0" w:color="auto"/>
              <w:bottom w:val="none" w:sz="0" w:space="0" w:color="auto"/>
              <w:right w:val="none" w:sz="0" w:space="0" w:color="auto"/>
            </w:tcBorders>
            <w:hideMark/>
          </w:tcPr>
          <w:p w:rsidR="004D0140" w:rsidRPr="00D528BF" w:rsidRDefault="004D0140" w:rsidP="00D528BF">
            <w:pPr>
              <w:pStyle w:val="Tabletext"/>
            </w:pPr>
            <w:r w:rsidRPr="00D528BF">
              <w:t>Terminated/Dismissed - other grounds such as no substance</w:t>
            </w:r>
          </w:p>
        </w:tc>
        <w:tc>
          <w:tcPr>
            <w:tcW w:w="1616" w:type="dxa"/>
            <w:tcBorders>
              <w:top w:val="none" w:sz="0" w:space="0" w:color="auto"/>
              <w:bottom w:val="none" w:sz="0" w:space="0" w:color="auto"/>
            </w:tcBorders>
            <w:noWrap/>
            <w:hideMark/>
          </w:tcPr>
          <w:p w:rsidR="004D0140" w:rsidRPr="00D528BF" w:rsidRDefault="004D0140" w:rsidP="00D528BF">
            <w:pPr>
              <w:pStyle w:val="Tabletext"/>
              <w:tabs>
                <w:tab w:val="decimal" w:pos="842"/>
              </w:tabs>
              <w:cnfStyle w:val="000000100000" w:firstRow="0" w:lastRow="0" w:firstColumn="0" w:lastColumn="0" w:oddVBand="0" w:evenVBand="0" w:oddHBand="1" w:evenHBand="0" w:firstRowFirstColumn="0" w:firstRowLastColumn="0" w:lastRowFirstColumn="0" w:lastRowLastColumn="0"/>
            </w:pPr>
            <w:r w:rsidRPr="00D528BF">
              <w:t>3</w:t>
            </w:r>
          </w:p>
        </w:tc>
        <w:tc>
          <w:tcPr>
            <w:tcW w:w="1475" w:type="dxa"/>
            <w:tcBorders>
              <w:top w:val="none" w:sz="0" w:space="0" w:color="auto"/>
              <w:bottom w:val="none" w:sz="0" w:space="0" w:color="auto"/>
            </w:tcBorders>
            <w:noWrap/>
            <w:hideMark/>
          </w:tcPr>
          <w:p w:rsidR="004D0140" w:rsidRPr="00D528BF" w:rsidRDefault="004D0140" w:rsidP="00D528BF">
            <w:pPr>
              <w:pStyle w:val="Tabletext"/>
              <w:tabs>
                <w:tab w:val="decimal" w:pos="662"/>
              </w:tabs>
              <w:cnfStyle w:val="000000100000" w:firstRow="0" w:lastRow="0" w:firstColumn="0" w:lastColumn="0" w:oddVBand="0" w:evenVBand="0" w:oddHBand="1" w:evenHBand="0" w:firstRowFirstColumn="0" w:firstRowLastColumn="0" w:lastRowFirstColumn="0" w:lastRowLastColumn="0"/>
            </w:pPr>
            <w:r w:rsidRPr="00D528BF">
              <w:t>3</w:t>
            </w:r>
          </w:p>
        </w:tc>
        <w:tc>
          <w:tcPr>
            <w:tcW w:w="1422" w:type="dxa"/>
            <w:tcBorders>
              <w:top w:val="none" w:sz="0" w:space="0" w:color="auto"/>
              <w:bottom w:val="none" w:sz="0" w:space="0" w:color="auto"/>
            </w:tcBorders>
            <w:noWrap/>
            <w:hideMark/>
          </w:tcPr>
          <w:p w:rsidR="004D0140" w:rsidRPr="00D528BF" w:rsidRDefault="004D0140" w:rsidP="00D528BF">
            <w:pPr>
              <w:pStyle w:val="Tabletext"/>
              <w:tabs>
                <w:tab w:val="decimal" w:pos="604"/>
              </w:tabs>
              <w:cnfStyle w:val="000000100000" w:firstRow="0" w:lastRow="0" w:firstColumn="0" w:lastColumn="0" w:oddVBand="0" w:evenVBand="0" w:oddHBand="1" w:evenHBand="0" w:firstRowFirstColumn="0" w:firstRowLastColumn="0" w:lastRowFirstColumn="0" w:lastRowLastColumn="0"/>
            </w:pPr>
            <w:r w:rsidRPr="00D528BF">
              <w:t>1</w:t>
            </w:r>
          </w:p>
        </w:tc>
      </w:tr>
      <w:tr w:rsidR="004D0140" w:rsidRPr="00D528BF" w:rsidTr="00D528BF">
        <w:trPr>
          <w:trHeight w:val="280"/>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hideMark/>
          </w:tcPr>
          <w:p w:rsidR="004D0140" w:rsidRPr="00D528BF" w:rsidRDefault="004D0140" w:rsidP="00D528BF">
            <w:pPr>
              <w:pStyle w:val="Tabletext"/>
            </w:pPr>
            <w:r w:rsidRPr="00D528BF">
              <w:t>Withdrawn</w:t>
            </w:r>
          </w:p>
        </w:tc>
        <w:tc>
          <w:tcPr>
            <w:tcW w:w="1616" w:type="dxa"/>
            <w:noWrap/>
            <w:hideMark/>
          </w:tcPr>
          <w:p w:rsidR="004D0140" w:rsidRPr="00D528BF" w:rsidRDefault="004D0140" w:rsidP="00D528BF">
            <w:pPr>
              <w:pStyle w:val="Tabletext"/>
              <w:tabs>
                <w:tab w:val="decimal" w:pos="842"/>
              </w:tabs>
              <w:cnfStyle w:val="000000000000" w:firstRow="0" w:lastRow="0" w:firstColumn="0" w:lastColumn="0" w:oddVBand="0" w:evenVBand="0" w:oddHBand="0" w:evenHBand="0" w:firstRowFirstColumn="0" w:firstRowLastColumn="0" w:lastRowFirstColumn="0" w:lastRowLastColumn="0"/>
            </w:pPr>
            <w:r w:rsidRPr="00D528BF">
              <w:t>1</w:t>
            </w:r>
          </w:p>
        </w:tc>
        <w:tc>
          <w:tcPr>
            <w:tcW w:w="1475" w:type="dxa"/>
            <w:noWrap/>
            <w:hideMark/>
          </w:tcPr>
          <w:p w:rsidR="004D0140" w:rsidRPr="00D528BF" w:rsidRDefault="00D528BF" w:rsidP="00D528BF">
            <w:pPr>
              <w:pStyle w:val="Tabletext"/>
              <w:tabs>
                <w:tab w:val="decimal" w:pos="662"/>
              </w:tabs>
              <w:cnfStyle w:val="000000000000" w:firstRow="0" w:lastRow="0" w:firstColumn="0" w:lastColumn="0" w:oddVBand="0" w:evenVBand="0" w:oddHBand="0" w:evenHBand="0" w:firstRowFirstColumn="0" w:firstRowLastColumn="0" w:lastRowFirstColumn="0" w:lastRowLastColumn="0"/>
            </w:pPr>
            <w:r>
              <w:t>0</w:t>
            </w:r>
          </w:p>
        </w:tc>
        <w:tc>
          <w:tcPr>
            <w:tcW w:w="1422" w:type="dxa"/>
            <w:noWrap/>
            <w:hideMark/>
          </w:tcPr>
          <w:p w:rsidR="004D0140" w:rsidRPr="00D528BF" w:rsidRDefault="00D528BF" w:rsidP="00D528BF">
            <w:pPr>
              <w:pStyle w:val="Tabletext"/>
              <w:tabs>
                <w:tab w:val="decimal" w:pos="604"/>
              </w:tabs>
              <w:cnfStyle w:val="000000000000" w:firstRow="0" w:lastRow="0" w:firstColumn="0" w:lastColumn="0" w:oddVBand="0" w:evenVBand="0" w:oddHBand="0" w:evenHBand="0" w:firstRowFirstColumn="0" w:firstRowLastColumn="0" w:lastRowFirstColumn="0" w:lastRowLastColumn="0"/>
            </w:pPr>
            <w:r>
              <w:t>0</w:t>
            </w:r>
          </w:p>
        </w:tc>
      </w:tr>
      <w:tr w:rsidR="004D0140" w:rsidRPr="00D528BF" w:rsidTr="00D528BF">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243" w:type="dxa"/>
            <w:tcBorders>
              <w:top w:val="none" w:sz="0" w:space="0" w:color="auto"/>
              <w:right w:val="none" w:sz="0" w:space="0" w:color="auto"/>
            </w:tcBorders>
            <w:hideMark/>
          </w:tcPr>
          <w:p w:rsidR="004D0140" w:rsidRPr="00D528BF" w:rsidRDefault="004D0140" w:rsidP="00D528BF">
            <w:pPr>
              <w:pStyle w:val="Tabletext"/>
            </w:pPr>
            <w:r w:rsidRPr="00D528BF">
              <w:t>Deemed does not wish to pursue/lost contact</w:t>
            </w:r>
          </w:p>
        </w:tc>
        <w:tc>
          <w:tcPr>
            <w:tcW w:w="1616" w:type="dxa"/>
            <w:tcBorders>
              <w:top w:val="none" w:sz="0" w:space="0" w:color="auto"/>
              <w:bottom w:val="none" w:sz="0" w:space="0" w:color="auto"/>
            </w:tcBorders>
            <w:noWrap/>
            <w:hideMark/>
          </w:tcPr>
          <w:p w:rsidR="004D0140" w:rsidRPr="00D528BF" w:rsidRDefault="00D528BF" w:rsidP="00D528BF">
            <w:pPr>
              <w:pStyle w:val="Tabletext"/>
              <w:tabs>
                <w:tab w:val="decimal" w:pos="842"/>
              </w:tabs>
              <w:cnfStyle w:val="000000100000" w:firstRow="0" w:lastRow="0" w:firstColumn="0" w:lastColumn="0" w:oddVBand="0" w:evenVBand="0" w:oddHBand="1" w:evenHBand="0" w:firstRowFirstColumn="0" w:firstRowLastColumn="0" w:lastRowFirstColumn="0" w:lastRowLastColumn="0"/>
            </w:pPr>
            <w:r>
              <w:t>0</w:t>
            </w:r>
          </w:p>
        </w:tc>
        <w:tc>
          <w:tcPr>
            <w:tcW w:w="1475" w:type="dxa"/>
            <w:tcBorders>
              <w:top w:val="none" w:sz="0" w:space="0" w:color="auto"/>
              <w:bottom w:val="none" w:sz="0" w:space="0" w:color="auto"/>
            </w:tcBorders>
            <w:noWrap/>
            <w:hideMark/>
          </w:tcPr>
          <w:p w:rsidR="004D0140" w:rsidRPr="00D528BF" w:rsidRDefault="00D528BF" w:rsidP="00D528BF">
            <w:pPr>
              <w:pStyle w:val="Tabletext"/>
              <w:tabs>
                <w:tab w:val="decimal" w:pos="662"/>
              </w:tabs>
              <w:cnfStyle w:val="000000100000" w:firstRow="0" w:lastRow="0" w:firstColumn="0" w:lastColumn="0" w:oddVBand="0" w:evenVBand="0" w:oddHBand="1" w:evenHBand="0" w:firstRowFirstColumn="0" w:firstRowLastColumn="0" w:lastRowFirstColumn="0" w:lastRowLastColumn="0"/>
            </w:pPr>
            <w:r>
              <w:t>0</w:t>
            </w:r>
          </w:p>
        </w:tc>
        <w:tc>
          <w:tcPr>
            <w:tcW w:w="1422" w:type="dxa"/>
            <w:tcBorders>
              <w:top w:val="none" w:sz="0" w:space="0" w:color="auto"/>
              <w:bottom w:val="none" w:sz="0" w:space="0" w:color="auto"/>
            </w:tcBorders>
            <w:noWrap/>
            <w:hideMark/>
          </w:tcPr>
          <w:p w:rsidR="004D0140" w:rsidRPr="00D528BF" w:rsidRDefault="00D528BF" w:rsidP="00D528BF">
            <w:pPr>
              <w:pStyle w:val="Tabletext"/>
              <w:tabs>
                <w:tab w:val="decimal" w:pos="604"/>
              </w:tabs>
              <w:cnfStyle w:val="000000100000" w:firstRow="0" w:lastRow="0" w:firstColumn="0" w:lastColumn="0" w:oddVBand="0" w:evenVBand="0" w:oddHBand="1" w:evenHBand="0" w:firstRowFirstColumn="0" w:firstRowLastColumn="0" w:lastRowFirstColumn="0" w:lastRowLastColumn="0"/>
            </w:pPr>
            <w:r>
              <w:t>0</w:t>
            </w:r>
          </w:p>
        </w:tc>
      </w:tr>
    </w:tbl>
    <w:p w:rsidR="00D528BF" w:rsidRDefault="00D528BF" w:rsidP="00FB14FF"/>
    <w:p w:rsidR="00FB14FF" w:rsidRDefault="00FB14FF" w:rsidP="00FB14FF">
      <w:r>
        <w:t>The nature of the complaints received reflects the findings outlined in earlier sections:</w:t>
      </w:r>
    </w:p>
    <w:p w:rsidR="00FB14FF" w:rsidRDefault="00FB14FF" w:rsidP="006B5926">
      <w:pPr>
        <w:pStyle w:val="EOTCaseStudyBody"/>
      </w:pPr>
      <w:r>
        <w:t>J applied for a job as a sales consultant and was asked for his age in the online application form</w:t>
      </w:r>
      <w:proofErr w:type="gramStart"/>
      <w:r>
        <w:t xml:space="preserve">. </w:t>
      </w:r>
      <w:proofErr w:type="gramEnd"/>
      <w:r>
        <w:t>J is 55 years of age and was ther</w:t>
      </w:r>
      <w:r w:rsidR="00A34E71">
        <w:t>efore listed as being in the 51–</w:t>
      </w:r>
      <w:r>
        <w:t>60 year old age bracket</w:t>
      </w:r>
      <w:proofErr w:type="gramStart"/>
      <w:r>
        <w:t xml:space="preserve">. </w:t>
      </w:r>
      <w:proofErr w:type="gramEnd"/>
      <w:r>
        <w:t xml:space="preserve">He was not successful in gaining employment and believed this was because of his age. </w:t>
      </w:r>
    </w:p>
    <w:p w:rsidR="006B5926" w:rsidRDefault="006B5926" w:rsidP="006B5926">
      <w:pPr>
        <w:pStyle w:val="Examplegap"/>
      </w:pPr>
    </w:p>
    <w:p w:rsidR="00FB14FF" w:rsidRDefault="00FB14FF" w:rsidP="006B5926">
      <w:pPr>
        <w:pStyle w:val="EOTCaseStudyBody"/>
      </w:pPr>
      <w:r w:rsidRPr="00992F22">
        <w:t>G</w:t>
      </w:r>
      <w:r>
        <w:t xml:space="preserve"> had worked in a casual support worker position for a number of years</w:t>
      </w:r>
      <w:proofErr w:type="gramStart"/>
      <w:r>
        <w:t xml:space="preserve">. </w:t>
      </w:r>
      <w:proofErr w:type="gramEnd"/>
      <w:r>
        <w:t>She applied for a range of permanent vacancies, but was unsuccessful</w:t>
      </w:r>
      <w:proofErr w:type="gramStart"/>
      <w:r>
        <w:t xml:space="preserve">. </w:t>
      </w:r>
      <w:proofErr w:type="gramEnd"/>
      <w:r>
        <w:t>All successful applicants were under the age of 25 years</w:t>
      </w:r>
      <w:proofErr w:type="gramStart"/>
      <w:r>
        <w:t xml:space="preserve">. </w:t>
      </w:r>
      <w:proofErr w:type="gramEnd"/>
      <w:r w:rsidRPr="00992F22">
        <w:t>G is 56 years of age.</w:t>
      </w:r>
    </w:p>
    <w:p w:rsidR="006B5926" w:rsidRDefault="006B5926" w:rsidP="006B5926">
      <w:pPr>
        <w:pStyle w:val="Examplegap"/>
      </w:pPr>
    </w:p>
    <w:p w:rsidR="00FB14FF" w:rsidRDefault="00FB14FF" w:rsidP="006B5926">
      <w:pPr>
        <w:pStyle w:val="EOTCaseStudyBody"/>
      </w:pPr>
      <w:r>
        <w:lastRenderedPageBreak/>
        <w:t>Q was asked during a job interview about her date of birth and whether she had children</w:t>
      </w:r>
      <w:proofErr w:type="gramStart"/>
      <w:r>
        <w:t xml:space="preserve">. </w:t>
      </w:r>
      <w:proofErr w:type="gramEnd"/>
      <w:r>
        <w:t>She sent an e-mail after the interview expressing her concern about the questions</w:t>
      </w:r>
      <w:proofErr w:type="gramStart"/>
      <w:r>
        <w:t xml:space="preserve">. </w:t>
      </w:r>
      <w:proofErr w:type="gramEnd"/>
      <w:r>
        <w:t>She was unsuccessful in gaining employment.</w:t>
      </w:r>
    </w:p>
    <w:p w:rsidR="006B5926" w:rsidRDefault="006B5926" w:rsidP="006B5926">
      <w:pPr>
        <w:pStyle w:val="Examplegap"/>
      </w:pPr>
    </w:p>
    <w:p w:rsidR="00FB14FF" w:rsidRDefault="00FB14FF" w:rsidP="006B5926">
      <w:pPr>
        <w:pStyle w:val="EOTCaseStudyBody"/>
      </w:pPr>
      <w:r>
        <w:t xml:space="preserve">A was questioned during a pre-employment meeting about taking the risk of starting a new job at his age. </w:t>
      </w:r>
    </w:p>
    <w:p w:rsidR="006B5926" w:rsidRDefault="006B5926" w:rsidP="006B5926">
      <w:pPr>
        <w:pStyle w:val="Examplegap"/>
      </w:pPr>
    </w:p>
    <w:p w:rsidR="00FB14FF" w:rsidRDefault="00FB14FF" w:rsidP="006B5926">
      <w:pPr>
        <w:pStyle w:val="EOTCaseStudyBody"/>
      </w:pPr>
      <w:r>
        <w:t xml:space="preserve">S flew to Hobart from interstate </w:t>
      </w:r>
      <w:r w:rsidR="00A34E71">
        <w:t>for</w:t>
      </w:r>
      <w:r>
        <w:t xml:space="preserve"> an interview for a position in a call centre</w:t>
      </w:r>
      <w:proofErr w:type="gramStart"/>
      <w:r>
        <w:t xml:space="preserve">. </w:t>
      </w:r>
      <w:proofErr w:type="gramEnd"/>
      <w:r>
        <w:t>He was unsuccessful and considered this was because of his age.</w:t>
      </w:r>
    </w:p>
    <w:p w:rsidR="006B5926" w:rsidRDefault="006B5926" w:rsidP="006B5926">
      <w:pPr>
        <w:pStyle w:val="Examplegap"/>
      </w:pPr>
    </w:p>
    <w:p w:rsidR="00FB14FF" w:rsidRDefault="00FB14FF" w:rsidP="006B5926">
      <w:pPr>
        <w:pStyle w:val="EOTCaseStudyBody"/>
      </w:pPr>
      <w:r>
        <w:t>B had been employed for 18 years with the same firm</w:t>
      </w:r>
      <w:proofErr w:type="gramStart"/>
      <w:r>
        <w:t xml:space="preserve">. </w:t>
      </w:r>
      <w:proofErr w:type="gramEnd"/>
      <w:r>
        <w:t xml:space="preserve">He believes the decision to make his position redundant was made by a new and considerably younger manager and that he lost his position in circumstances where younger and less experienced </w:t>
      </w:r>
      <w:proofErr w:type="gramStart"/>
      <w:r>
        <w:t>staff were</w:t>
      </w:r>
      <w:proofErr w:type="gramEnd"/>
      <w:r>
        <w:t xml:space="preserve"> retained.</w:t>
      </w:r>
    </w:p>
    <w:p w:rsidR="006B5926" w:rsidRDefault="006B5926" w:rsidP="006B5926">
      <w:pPr>
        <w:pStyle w:val="Examplegap"/>
      </w:pPr>
    </w:p>
    <w:p w:rsidR="00FB14FF" w:rsidRPr="00992F22" w:rsidRDefault="00FB14FF" w:rsidP="006B5926">
      <w:pPr>
        <w:pStyle w:val="EOTCaseStudyBody"/>
      </w:pPr>
      <w:r>
        <w:t xml:space="preserve">W believes his application for an adult apprenticeship was not accepted because he was too old. </w:t>
      </w:r>
    </w:p>
    <w:p w:rsidR="006B5926" w:rsidRDefault="006B5926" w:rsidP="006B5926">
      <w:pPr>
        <w:pStyle w:val="Examplegap"/>
      </w:pPr>
    </w:p>
    <w:p w:rsidR="00FB14FF" w:rsidRDefault="00FB14FF" w:rsidP="006B5926">
      <w:pPr>
        <w:pStyle w:val="EOTCaseStudyBody"/>
      </w:pPr>
      <w:r>
        <w:t>H was not successful in his application for a position in a biotechnology company</w:t>
      </w:r>
      <w:proofErr w:type="gramStart"/>
      <w:r>
        <w:t xml:space="preserve">. </w:t>
      </w:r>
      <w:proofErr w:type="gramEnd"/>
      <w:r>
        <w:t>In an e-mail explaining why he was not successful</w:t>
      </w:r>
      <w:r w:rsidR="00A34E71">
        <w:t>,</w:t>
      </w:r>
      <w:r>
        <w:t xml:space="preserve"> the CEO of the company told his it was because of his age as they wanted to ‘inject some youth’.</w:t>
      </w:r>
    </w:p>
    <w:p w:rsidR="006B5926" w:rsidRDefault="006B5926" w:rsidP="006B5926">
      <w:pPr>
        <w:pStyle w:val="Examplegap"/>
      </w:pPr>
    </w:p>
    <w:p w:rsidR="00FB14FF" w:rsidRDefault="00FB14FF" w:rsidP="006B5926">
      <w:pPr>
        <w:pStyle w:val="EOTCaseStudyBody"/>
      </w:pPr>
      <w:r>
        <w:lastRenderedPageBreak/>
        <w:t xml:space="preserve">W </w:t>
      </w:r>
      <w:r w:rsidR="00A34E71">
        <w:t>alleged</w:t>
      </w:r>
      <w:r>
        <w:t xml:space="preserve"> her employer failed to assist in making workplace adjustments to her duties because of perceptions about her age</w:t>
      </w:r>
      <w:proofErr w:type="gramStart"/>
      <w:r>
        <w:t xml:space="preserve">. </w:t>
      </w:r>
      <w:proofErr w:type="gramEnd"/>
      <w:r>
        <w:t xml:space="preserve">She believed her employer was also forcing other employees into early retirement by assigning them tasks that were outside of their skill set. </w:t>
      </w:r>
    </w:p>
    <w:p w:rsidR="004D0140" w:rsidRDefault="00CA4B42" w:rsidP="006B5926">
      <w:pPr>
        <w:pStyle w:val="Heading2"/>
      </w:pPr>
      <w:bookmarkStart w:id="19" w:name="_Toc441923566"/>
      <w:r>
        <w:t>Complainant demographics</w:t>
      </w:r>
      <w:bookmarkEnd w:id="19"/>
    </w:p>
    <w:p w:rsidR="004D0140" w:rsidRDefault="00FB14FF" w:rsidP="00104930">
      <w:r>
        <w:t xml:space="preserve">Table 3 provides information on the demographic profile of age-related employment complainants for the last three financial years. </w:t>
      </w:r>
    </w:p>
    <w:p w:rsidR="00FB14FF" w:rsidRDefault="00FB14FF" w:rsidP="00104930">
      <w:r>
        <w:t xml:space="preserve">Whilst the data shows the gender of those making complaints is relatively evenly spread, there </w:t>
      </w:r>
      <w:r w:rsidR="00D166C9">
        <w:t>were</w:t>
      </w:r>
      <w:r>
        <w:t xml:space="preserve"> few age-related employment complaints received from those of culturally </w:t>
      </w:r>
      <w:r w:rsidR="00DD2371">
        <w:t>or</w:t>
      </w:r>
      <w:r>
        <w:t xml:space="preserve"> linguistically diverse or Aboriginal background</w:t>
      </w:r>
      <w:proofErr w:type="gramStart"/>
      <w:r>
        <w:t xml:space="preserve">. </w:t>
      </w:r>
      <w:proofErr w:type="gramEnd"/>
      <w:r>
        <w:t>Data does, however, indicate that disability is a factor in a s</w:t>
      </w:r>
      <w:r w:rsidR="00DD2371">
        <w:t>ignificant number of complaints. The age at whi</w:t>
      </w:r>
      <w:r w:rsidR="00D166C9">
        <w:t>ch most age-</w:t>
      </w:r>
      <w:r w:rsidR="00DD2371">
        <w:t>related employment compl</w:t>
      </w:r>
      <w:r w:rsidR="00D166C9">
        <w:t>aints are received is in the 50–</w:t>
      </w:r>
      <w:r w:rsidR="00DD2371">
        <w:t>59 year old age bracket.</w:t>
      </w:r>
    </w:p>
    <w:p w:rsidR="006B5926" w:rsidRPr="005E74D2" w:rsidRDefault="006B5926" w:rsidP="006B5926">
      <w:pPr>
        <w:pStyle w:val="Caption"/>
      </w:pPr>
      <w:r>
        <w:t xml:space="preserve">Table 3: </w:t>
      </w:r>
      <w:r w:rsidRPr="005E74D2">
        <w:t>Complainant Demographics</w:t>
      </w:r>
    </w:p>
    <w:tbl>
      <w:tblPr>
        <w:tblStyle w:val="Table3Deffects3"/>
        <w:tblW w:w="8706" w:type="dxa"/>
        <w:tblBorders>
          <w:top w:val="single" w:sz="6" w:space="0" w:color="808080"/>
          <w:bottom w:val="single" w:sz="6" w:space="0" w:color="808080"/>
          <w:insideH w:val="dotted" w:sz="4" w:space="0" w:color="auto"/>
        </w:tblBorders>
        <w:tblLook w:val="04A0" w:firstRow="1" w:lastRow="0" w:firstColumn="1" w:lastColumn="0" w:noHBand="0" w:noVBand="1"/>
      </w:tblPr>
      <w:tblGrid>
        <w:gridCol w:w="4220"/>
        <w:gridCol w:w="1607"/>
        <w:gridCol w:w="1466"/>
        <w:gridCol w:w="1413"/>
      </w:tblGrid>
      <w:tr w:rsidR="005E74D2" w:rsidRPr="00C32F0D" w:rsidTr="00056B71">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4220" w:type="dxa"/>
            <w:tcBorders>
              <w:bottom w:val="dotted" w:sz="4" w:space="0" w:color="auto"/>
              <w:right w:val="none" w:sz="0" w:space="0" w:color="auto"/>
            </w:tcBorders>
            <w:hideMark/>
          </w:tcPr>
          <w:p w:rsidR="005E74D2" w:rsidRPr="00C32F0D" w:rsidRDefault="005E74D2" w:rsidP="00D166C9">
            <w:pPr>
              <w:pStyle w:val="Tabletext"/>
            </w:pPr>
          </w:p>
        </w:tc>
        <w:tc>
          <w:tcPr>
            <w:tcW w:w="1607" w:type="dxa"/>
            <w:tcBorders>
              <w:bottom w:val="dotted" w:sz="4" w:space="0" w:color="auto"/>
            </w:tcBorders>
            <w:hideMark/>
          </w:tcPr>
          <w:p w:rsidR="005E74D2" w:rsidRPr="00C32F0D" w:rsidRDefault="00056B71" w:rsidP="00D166C9">
            <w:pPr>
              <w:pStyle w:val="Tabletext"/>
              <w:cnfStyle w:val="100000000000" w:firstRow="1" w:lastRow="0" w:firstColumn="0" w:lastColumn="0" w:oddVBand="0" w:evenVBand="0" w:oddHBand="0" w:evenHBand="0" w:firstRowFirstColumn="0" w:firstRowLastColumn="0" w:lastRowFirstColumn="0" w:lastRowLastColumn="0"/>
            </w:pPr>
            <w:r>
              <w:t>2012–</w:t>
            </w:r>
            <w:r w:rsidR="005E74D2" w:rsidRPr="00C32F0D">
              <w:t>13</w:t>
            </w:r>
          </w:p>
        </w:tc>
        <w:tc>
          <w:tcPr>
            <w:tcW w:w="1466" w:type="dxa"/>
            <w:tcBorders>
              <w:bottom w:val="dotted" w:sz="4" w:space="0" w:color="auto"/>
            </w:tcBorders>
            <w:hideMark/>
          </w:tcPr>
          <w:p w:rsidR="005E74D2" w:rsidRPr="00C32F0D" w:rsidRDefault="00056B71" w:rsidP="00D166C9">
            <w:pPr>
              <w:pStyle w:val="Tabletext"/>
              <w:cnfStyle w:val="100000000000" w:firstRow="1" w:lastRow="0" w:firstColumn="0" w:lastColumn="0" w:oddVBand="0" w:evenVBand="0" w:oddHBand="0" w:evenHBand="0" w:firstRowFirstColumn="0" w:firstRowLastColumn="0" w:lastRowFirstColumn="0" w:lastRowLastColumn="0"/>
            </w:pPr>
            <w:r>
              <w:t>2013–</w:t>
            </w:r>
            <w:r w:rsidR="005E74D2" w:rsidRPr="00C32F0D">
              <w:t>14</w:t>
            </w:r>
          </w:p>
        </w:tc>
        <w:tc>
          <w:tcPr>
            <w:tcW w:w="1413" w:type="dxa"/>
            <w:tcBorders>
              <w:bottom w:val="dotted" w:sz="4" w:space="0" w:color="auto"/>
            </w:tcBorders>
            <w:hideMark/>
          </w:tcPr>
          <w:p w:rsidR="005E74D2" w:rsidRPr="00C32F0D" w:rsidRDefault="00056B71" w:rsidP="00D166C9">
            <w:pPr>
              <w:pStyle w:val="Tabletext"/>
              <w:cnfStyle w:val="100000000000" w:firstRow="1" w:lastRow="0" w:firstColumn="0" w:lastColumn="0" w:oddVBand="0" w:evenVBand="0" w:oddHBand="0" w:evenHBand="0" w:firstRowFirstColumn="0" w:firstRowLastColumn="0" w:lastRowFirstColumn="0" w:lastRowLastColumn="0"/>
            </w:pPr>
            <w:r>
              <w:t>2014–</w:t>
            </w:r>
            <w:r w:rsidR="005E74D2" w:rsidRPr="00C32F0D">
              <w:t>15</w:t>
            </w:r>
          </w:p>
        </w:tc>
      </w:tr>
      <w:tr w:rsidR="00056B71" w:rsidRPr="00056B71"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706" w:type="dxa"/>
            <w:gridSpan w:val="4"/>
            <w:tcBorders>
              <w:top w:val="dotted" w:sz="4" w:space="0" w:color="auto"/>
              <w:bottom w:val="dotted" w:sz="4" w:space="0" w:color="auto"/>
              <w:right w:val="nil"/>
            </w:tcBorders>
          </w:tcPr>
          <w:p w:rsidR="00056B71" w:rsidRPr="00056B71" w:rsidRDefault="00056B71" w:rsidP="00D166C9">
            <w:pPr>
              <w:pStyle w:val="Tabletext"/>
              <w:rPr>
                <w:b/>
              </w:rPr>
            </w:pPr>
            <w:r w:rsidRPr="00056B71">
              <w:rPr>
                <w:b/>
              </w:rPr>
              <w:t>Gender</w:t>
            </w:r>
          </w:p>
        </w:tc>
      </w:tr>
      <w:tr w:rsidR="005E74D2" w:rsidRPr="00C32F0D" w:rsidTr="00056B71">
        <w:trPr>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dotted" w:sz="4" w:space="0" w:color="auto"/>
              <w:right w:val="none" w:sz="0" w:space="0" w:color="auto"/>
            </w:tcBorders>
            <w:hideMark/>
          </w:tcPr>
          <w:p w:rsidR="005E74D2" w:rsidRPr="00C32F0D" w:rsidRDefault="005E74D2" w:rsidP="00D166C9">
            <w:pPr>
              <w:pStyle w:val="Tabletext"/>
            </w:pPr>
            <w:r w:rsidRPr="00C32F0D">
              <w:t>Female</w:t>
            </w:r>
          </w:p>
        </w:tc>
        <w:tc>
          <w:tcPr>
            <w:tcW w:w="1607" w:type="dxa"/>
            <w:tcBorders>
              <w:top w:val="dotted" w:sz="4" w:space="0" w:color="auto"/>
            </w:tcBorders>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3</w:t>
            </w:r>
          </w:p>
        </w:tc>
        <w:tc>
          <w:tcPr>
            <w:tcW w:w="1466" w:type="dxa"/>
            <w:tcBorders>
              <w:top w:val="dotted" w:sz="4" w:space="0" w:color="auto"/>
            </w:tcBorders>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3</w:t>
            </w:r>
          </w:p>
        </w:tc>
        <w:tc>
          <w:tcPr>
            <w:tcW w:w="1413" w:type="dxa"/>
            <w:tcBorders>
              <w:top w:val="dotted" w:sz="4" w:space="0" w:color="auto"/>
            </w:tcBorders>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3</w:t>
            </w:r>
          </w:p>
        </w:tc>
      </w:tr>
      <w:tr w:rsidR="005E74D2" w:rsidRPr="00C32F0D" w:rsidTr="00D166C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none" w:sz="0" w:space="0" w:color="auto"/>
              <w:right w:val="none" w:sz="0" w:space="0" w:color="auto"/>
            </w:tcBorders>
            <w:hideMark/>
          </w:tcPr>
          <w:p w:rsidR="005E74D2" w:rsidRPr="00C32F0D" w:rsidRDefault="005E74D2" w:rsidP="00D166C9">
            <w:pPr>
              <w:pStyle w:val="Tabletext"/>
            </w:pPr>
            <w:r w:rsidRPr="00C32F0D">
              <w:t>Male</w:t>
            </w:r>
          </w:p>
        </w:tc>
        <w:tc>
          <w:tcPr>
            <w:tcW w:w="1607" w:type="dxa"/>
            <w:tcBorders>
              <w:top w:val="none" w:sz="0" w:space="0" w:color="auto"/>
              <w:bottom w:val="none" w:sz="0"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6</w:t>
            </w:r>
          </w:p>
        </w:tc>
        <w:tc>
          <w:tcPr>
            <w:tcW w:w="1466" w:type="dxa"/>
            <w:tcBorders>
              <w:top w:val="none" w:sz="0" w:space="0" w:color="auto"/>
              <w:bottom w:val="none" w:sz="0"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3</w:t>
            </w:r>
          </w:p>
        </w:tc>
        <w:tc>
          <w:tcPr>
            <w:tcW w:w="1413" w:type="dxa"/>
            <w:tcBorders>
              <w:top w:val="none" w:sz="0" w:space="0" w:color="auto"/>
              <w:bottom w:val="none" w:sz="0"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4</w:t>
            </w:r>
          </w:p>
        </w:tc>
      </w:tr>
      <w:tr w:rsidR="005E74D2" w:rsidRPr="00C32F0D" w:rsidTr="00D166C9">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X (Indeterminate/intersex/unspecified)</w:t>
            </w:r>
          </w:p>
        </w:tc>
        <w:tc>
          <w:tcPr>
            <w:tcW w:w="1607" w:type="dxa"/>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 </w:t>
            </w:r>
          </w:p>
        </w:tc>
        <w:tc>
          <w:tcPr>
            <w:tcW w:w="1466" w:type="dxa"/>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 </w:t>
            </w:r>
          </w:p>
        </w:tc>
        <w:tc>
          <w:tcPr>
            <w:tcW w:w="1413" w:type="dxa"/>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 </w:t>
            </w: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dotted" w:sz="4" w:space="0" w:color="auto"/>
              <w:right w:val="none" w:sz="0" w:space="0" w:color="auto"/>
            </w:tcBorders>
            <w:hideMark/>
          </w:tcPr>
          <w:p w:rsidR="005E74D2" w:rsidRPr="00C32F0D" w:rsidRDefault="005E74D2" w:rsidP="00D166C9">
            <w:pPr>
              <w:pStyle w:val="Tabletext"/>
            </w:pPr>
            <w:r w:rsidRPr="00C32F0D">
              <w:t>Unknown</w:t>
            </w:r>
          </w:p>
        </w:tc>
        <w:tc>
          <w:tcPr>
            <w:tcW w:w="1607" w:type="dxa"/>
            <w:tcBorders>
              <w:top w:val="none" w:sz="0" w:space="0" w:color="auto"/>
              <w:bottom w:val="dotted" w:sz="4"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 </w:t>
            </w:r>
          </w:p>
        </w:tc>
        <w:tc>
          <w:tcPr>
            <w:tcW w:w="1466" w:type="dxa"/>
            <w:tcBorders>
              <w:top w:val="none" w:sz="0" w:space="0" w:color="auto"/>
              <w:bottom w:val="dotted" w:sz="4"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 </w:t>
            </w:r>
          </w:p>
        </w:tc>
        <w:tc>
          <w:tcPr>
            <w:tcW w:w="1413" w:type="dxa"/>
            <w:tcBorders>
              <w:top w:val="none" w:sz="0" w:space="0" w:color="auto"/>
              <w:bottom w:val="dotted" w:sz="4"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 </w:t>
            </w:r>
          </w:p>
        </w:tc>
      </w:tr>
      <w:tr w:rsidR="00056B71" w:rsidRPr="00056B71" w:rsidTr="00056B71">
        <w:trPr>
          <w:trHeight w:val="287"/>
        </w:trPr>
        <w:tc>
          <w:tcPr>
            <w:cnfStyle w:val="001000000000" w:firstRow="0" w:lastRow="0" w:firstColumn="1" w:lastColumn="0" w:oddVBand="0" w:evenVBand="0" w:oddHBand="0" w:evenHBand="0" w:firstRowFirstColumn="0" w:firstRowLastColumn="0" w:lastRowFirstColumn="0" w:lastRowLastColumn="0"/>
            <w:tcW w:w="8706" w:type="dxa"/>
            <w:gridSpan w:val="4"/>
            <w:tcBorders>
              <w:top w:val="dotted" w:sz="4" w:space="0" w:color="auto"/>
              <w:bottom w:val="dotted" w:sz="4" w:space="0" w:color="auto"/>
              <w:right w:val="nil"/>
            </w:tcBorders>
            <w:hideMark/>
          </w:tcPr>
          <w:p w:rsidR="00056B71" w:rsidRPr="00056B71" w:rsidRDefault="00056B71" w:rsidP="00056B71">
            <w:pPr>
              <w:pStyle w:val="Tabletext"/>
              <w:tabs>
                <w:tab w:val="decimal" w:pos="732"/>
                <w:tab w:val="decimal" w:pos="820"/>
              </w:tabs>
              <w:rPr>
                <w:b/>
              </w:rPr>
            </w:pPr>
            <w:r w:rsidRPr="00056B71">
              <w:rPr>
                <w:b/>
              </w:rPr>
              <w:t>Disability</w:t>
            </w: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dotted" w:sz="4" w:space="0" w:color="auto"/>
              <w:bottom w:val="none" w:sz="0" w:space="0" w:color="auto"/>
              <w:right w:val="none" w:sz="0" w:space="0" w:color="auto"/>
            </w:tcBorders>
            <w:hideMark/>
          </w:tcPr>
          <w:p w:rsidR="005E74D2" w:rsidRPr="00C32F0D" w:rsidRDefault="005E74D2" w:rsidP="00D166C9">
            <w:pPr>
              <w:pStyle w:val="Tabletext"/>
            </w:pPr>
            <w:r w:rsidRPr="00C32F0D">
              <w:t>Yes</w:t>
            </w:r>
          </w:p>
        </w:tc>
        <w:tc>
          <w:tcPr>
            <w:tcW w:w="1607" w:type="dxa"/>
            <w:tcBorders>
              <w:top w:val="dotted" w:sz="4" w:space="0" w:color="auto"/>
              <w:bottom w:val="none" w:sz="0"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2</w:t>
            </w:r>
          </w:p>
        </w:tc>
        <w:tc>
          <w:tcPr>
            <w:tcW w:w="1466" w:type="dxa"/>
            <w:tcBorders>
              <w:top w:val="dotted" w:sz="4" w:space="0" w:color="auto"/>
              <w:bottom w:val="none" w:sz="0"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1</w:t>
            </w:r>
          </w:p>
        </w:tc>
        <w:tc>
          <w:tcPr>
            <w:tcW w:w="1413" w:type="dxa"/>
            <w:tcBorders>
              <w:top w:val="dotted" w:sz="4" w:space="0" w:color="auto"/>
              <w:bottom w:val="none" w:sz="0"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4</w:t>
            </w:r>
          </w:p>
        </w:tc>
      </w:tr>
      <w:tr w:rsidR="005E74D2" w:rsidRPr="00C32F0D" w:rsidTr="00D166C9">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No</w:t>
            </w:r>
          </w:p>
        </w:tc>
        <w:tc>
          <w:tcPr>
            <w:tcW w:w="1607" w:type="dxa"/>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 </w:t>
            </w:r>
          </w:p>
        </w:tc>
        <w:tc>
          <w:tcPr>
            <w:tcW w:w="1466" w:type="dxa"/>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 </w:t>
            </w:r>
          </w:p>
        </w:tc>
        <w:tc>
          <w:tcPr>
            <w:tcW w:w="1413" w:type="dxa"/>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 </w:t>
            </w: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dotted" w:sz="4" w:space="0" w:color="auto"/>
              <w:right w:val="none" w:sz="0" w:space="0" w:color="auto"/>
            </w:tcBorders>
            <w:hideMark/>
          </w:tcPr>
          <w:p w:rsidR="005E74D2" w:rsidRPr="00C32F0D" w:rsidRDefault="005E74D2" w:rsidP="00D166C9">
            <w:pPr>
              <w:pStyle w:val="Tabletext"/>
            </w:pPr>
            <w:r w:rsidRPr="00C32F0D">
              <w:t>Unknown</w:t>
            </w:r>
          </w:p>
        </w:tc>
        <w:tc>
          <w:tcPr>
            <w:tcW w:w="1607" w:type="dxa"/>
            <w:tcBorders>
              <w:top w:val="none" w:sz="0" w:space="0" w:color="auto"/>
              <w:bottom w:val="dotted" w:sz="4"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 </w:t>
            </w:r>
          </w:p>
        </w:tc>
        <w:tc>
          <w:tcPr>
            <w:tcW w:w="1466" w:type="dxa"/>
            <w:tcBorders>
              <w:top w:val="none" w:sz="0" w:space="0" w:color="auto"/>
              <w:bottom w:val="dotted" w:sz="4"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 </w:t>
            </w:r>
          </w:p>
        </w:tc>
        <w:tc>
          <w:tcPr>
            <w:tcW w:w="1413" w:type="dxa"/>
            <w:tcBorders>
              <w:top w:val="none" w:sz="0" w:space="0" w:color="auto"/>
              <w:bottom w:val="dotted" w:sz="4"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 </w:t>
            </w:r>
          </w:p>
        </w:tc>
      </w:tr>
      <w:tr w:rsidR="00056B71" w:rsidRPr="00056B71" w:rsidTr="00056B71">
        <w:trPr>
          <w:trHeight w:val="287"/>
        </w:trPr>
        <w:tc>
          <w:tcPr>
            <w:cnfStyle w:val="001000000000" w:firstRow="0" w:lastRow="0" w:firstColumn="1" w:lastColumn="0" w:oddVBand="0" w:evenVBand="0" w:oddHBand="0" w:evenHBand="0" w:firstRowFirstColumn="0" w:firstRowLastColumn="0" w:lastRowFirstColumn="0" w:lastRowLastColumn="0"/>
            <w:tcW w:w="8706" w:type="dxa"/>
            <w:gridSpan w:val="4"/>
            <w:tcBorders>
              <w:top w:val="dotted" w:sz="4" w:space="0" w:color="auto"/>
              <w:bottom w:val="dotted" w:sz="4" w:space="0" w:color="auto"/>
              <w:right w:val="nil"/>
            </w:tcBorders>
            <w:hideMark/>
          </w:tcPr>
          <w:p w:rsidR="00056B71" w:rsidRPr="00056B71" w:rsidRDefault="00056B71" w:rsidP="00056B71">
            <w:pPr>
              <w:pStyle w:val="Tabletext"/>
              <w:tabs>
                <w:tab w:val="decimal" w:pos="732"/>
                <w:tab w:val="decimal" w:pos="820"/>
              </w:tabs>
              <w:rPr>
                <w:b/>
              </w:rPr>
            </w:pPr>
            <w:r w:rsidRPr="00056B71">
              <w:rPr>
                <w:b/>
              </w:rPr>
              <w:t>Country of birth</w:t>
            </w: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dotted" w:sz="4" w:space="0" w:color="auto"/>
              <w:bottom w:val="none" w:sz="0" w:space="0" w:color="auto"/>
              <w:right w:val="none" w:sz="0" w:space="0" w:color="auto"/>
            </w:tcBorders>
            <w:hideMark/>
          </w:tcPr>
          <w:p w:rsidR="005E74D2" w:rsidRPr="00C32F0D" w:rsidRDefault="005E74D2" w:rsidP="00D166C9">
            <w:pPr>
              <w:pStyle w:val="Tabletext"/>
            </w:pPr>
            <w:r w:rsidRPr="00C32F0D">
              <w:t>Born in Australia</w:t>
            </w:r>
          </w:p>
        </w:tc>
        <w:tc>
          <w:tcPr>
            <w:tcW w:w="1607" w:type="dxa"/>
            <w:tcBorders>
              <w:top w:val="dotted" w:sz="4" w:space="0" w:color="auto"/>
              <w:bottom w:val="none" w:sz="0"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9</w:t>
            </w:r>
          </w:p>
        </w:tc>
        <w:tc>
          <w:tcPr>
            <w:tcW w:w="1466" w:type="dxa"/>
            <w:tcBorders>
              <w:top w:val="dotted" w:sz="4" w:space="0" w:color="auto"/>
              <w:bottom w:val="none" w:sz="0"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6</w:t>
            </w:r>
          </w:p>
        </w:tc>
        <w:tc>
          <w:tcPr>
            <w:tcW w:w="1413" w:type="dxa"/>
            <w:tcBorders>
              <w:top w:val="dotted" w:sz="4" w:space="0" w:color="auto"/>
              <w:bottom w:val="none" w:sz="0"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7</w:t>
            </w:r>
          </w:p>
        </w:tc>
      </w:tr>
      <w:tr w:rsidR="005E74D2" w:rsidRPr="00C32F0D" w:rsidTr="00D166C9">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Born outside Australia</w:t>
            </w:r>
          </w:p>
        </w:tc>
        <w:tc>
          <w:tcPr>
            <w:tcW w:w="1607" w:type="dxa"/>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 </w:t>
            </w:r>
          </w:p>
        </w:tc>
        <w:tc>
          <w:tcPr>
            <w:tcW w:w="1466" w:type="dxa"/>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 </w:t>
            </w:r>
          </w:p>
        </w:tc>
        <w:tc>
          <w:tcPr>
            <w:tcW w:w="1413" w:type="dxa"/>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 </w:t>
            </w: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dotted" w:sz="4" w:space="0" w:color="auto"/>
              <w:right w:val="none" w:sz="0" w:space="0" w:color="auto"/>
            </w:tcBorders>
            <w:hideMark/>
          </w:tcPr>
          <w:p w:rsidR="005E74D2" w:rsidRPr="00C32F0D" w:rsidRDefault="005E74D2" w:rsidP="00D166C9">
            <w:pPr>
              <w:pStyle w:val="Tabletext"/>
            </w:pPr>
            <w:r w:rsidRPr="00C32F0D">
              <w:t>Unknown</w:t>
            </w:r>
          </w:p>
        </w:tc>
        <w:tc>
          <w:tcPr>
            <w:tcW w:w="1607" w:type="dxa"/>
            <w:tcBorders>
              <w:top w:val="none" w:sz="0" w:space="0" w:color="auto"/>
              <w:bottom w:val="dotted" w:sz="4"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 </w:t>
            </w:r>
          </w:p>
        </w:tc>
        <w:tc>
          <w:tcPr>
            <w:tcW w:w="1466" w:type="dxa"/>
            <w:tcBorders>
              <w:top w:val="none" w:sz="0" w:space="0" w:color="auto"/>
              <w:bottom w:val="dotted" w:sz="4"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 </w:t>
            </w:r>
          </w:p>
        </w:tc>
        <w:tc>
          <w:tcPr>
            <w:tcW w:w="1413" w:type="dxa"/>
            <w:tcBorders>
              <w:top w:val="none" w:sz="0" w:space="0" w:color="auto"/>
              <w:bottom w:val="dotted" w:sz="4"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 </w:t>
            </w:r>
          </w:p>
        </w:tc>
      </w:tr>
      <w:tr w:rsidR="00056B71" w:rsidRPr="00056B71" w:rsidTr="00056B71">
        <w:trPr>
          <w:trHeight w:val="287"/>
        </w:trPr>
        <w:tc>
          <w:tcPr>
            <w:cnfStyle w:val="001000000000" w:firstRow="0" w:lastRow="0" w:firstColumn="1" w:lastColumn="0" w:oddVBand="0" w:evenVBand="0" w:oddHBand="0" w:evenHBand="0" w:firstRowFirstColumn="0" w:firstRowLastColumn="0" w:lastRowFirstColumn="0" w:lastRowLastColumn="0"/>
            <w:tcW w:w="8706" w:type="dxa"/>
            <w:gridSpan w:val="4"/>
            <w:tcBorders>
              <w:top w:val="dotted" w:sz="4" w:space="0" w:color="auto"/>
              <w:bottom w:val="dotted" w:sz="4" w:space="0" w:color="auto"/>
              <w:right w:val="nil"/>
            </w:tcBorders>
            <w:hideMark/>
          </w:tcPr>
          <w:p w:rsidR="00056B71" w:rsidRPr="00056B71" w:rsidRDefault="00056B71" w:rsidP="00056B71">
            <w:pPr>
              <w:pStyle w:val="Tabletext"/>
              <w:keepNext/>
              <w:tabs>
                <w:tab w:val="decimal" w:pos="732"/>
                <w:tab w:val="decimal" w:pos="820"/>
              </w:tabs>
              <w:rPr>
                <w:b/>
              </w:rPr>
            </w:pPr>
            <w:r w:rsidRPr="00056B71">
              <w:rPr>
                <w:b/>
              </w:rPr>
              <w:lastRenderedPageBreak/>
              <w:t xml:space="preserve">How well does the </w:t>
            </w:r>
            <w:r>
              <w:rPr>
                <w:b/>
              </w:rPr>
              <w:t>person</w:t>
            </w:r>
            <w:r w:rsidRPr="00056B71">
              <w:rPr>
                <w:b/>
              </w:rPr>
              <w:t xml:space="preserve"> speak English</w:t>
            </w:r>
            <w:proofErr w:type="gramStart"/>
            <w:r w:rsidRPr="00056B71">
              <w:rPr>
                <w:b/>
              </w:rPr>
              <w:t>? </w:t>
            </w:r>
            <w:proofErr w:type="gramEnd"/>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dotted" w:sz="4" w:space="0" w:color="auto"/>
              <w:bottom w:val="none" w:sz="0" w:space="0" w:color="auto"/>
              <w:right w:val="none" w:sz="0" w:space="0" w:color="auto"/>
            </w:tcBorders>
            <w:hideMark/>
          </w:tcPr>
          <w:p w:rsidR="005E74D2" w:rsidRPr="00C32F0D" w:rsidRDefault="005E74D2" w:rsidP="00D166C9">
            <w:pPr>
              <w:pStyle w:val="Tabletext"/>
            </w:pPr>
            <w:r w:rsidRPr="00C32F0D">
              <w:t>Not at all</w:t>
            </w:r>
          </w:p>
        </w:tc>
        <w:tc>
          <w:tcPr>
            <w:tcW w:w="1607" w:type="dxa"/>
            <w:tcBorders>
              <w:top w:val="dotted" w:sz="4" w:space="0" w:color="auto"/>
              <w:bottom w:val="none" w:sz="0" w:space="0" w:color="auto"/>
            </w:tcBorders>
            <w:noWrap/>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p>
        </w:tc>
        <w:tc>
          <w:tcPr>
            <w:tcW w:w="1466" w:type="dxa"/>
            <w:tcBorders>
              <w:top w:val="dotted" w:sz="4" w:space="0" w:color="auto"/>
              <w:bottom w:val="none" w:sz="0" w:space="0" w:color="auto"/>
            </w:tcBorders>
            <w:noWrap/>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p>
        </w:tc>
        <w:tc>
          <w:tcPr>
            <w:tcW w:w="1413" w:type="dxa"/>
            <w:tcBorders>
              <w:top w:val="dotted" w:sz="4" w:space="0" w:color="auto"/>
              <w:bottom w:val="none" w:sz="0" w:space="0" w:color="auto"/>
            </w:tcBorders>
            <w:noWrap/>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p>
        </w:tc>
      </w:tr>
      <w:tr w:rsidR="005E74D2" w:rsidRPr="00C32F0D" w:rsidTr="00056B71">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Not well</w:t>
            </w:r>
          </w:p>
        </w:tc>
        <w:tc>
          <w:tcPr>
            <w:tcW w:w="1607" w:type="dxa"/>
            <w:noWrap/>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p>
        </w:tc>
        <w:tc>
          <w:tcPr>
            <w:tcW w:w="1466" w:type="dxa"/>
            <w:noWrap/>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p>
        </w:tc>
        <w:tc>
          <w:tcPr>
            <w:tcW w:w="1413" w:type="dxa"/>
            <w:noWrap/>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none" w:sz="0" w:space="0" w:color="auto"/>
              <w:right w:val="none" w:sz="0" w:space="0" w:color="auto"/>
            </w:tcBorders>
            <w:hideMark/>
          </w:tcPr>
          <w:p w:rsidR="005E74D2" w:rsidRPr="00C32F0D" w:rsidRDefault="005E74D2" w:rsidP="00D166C9">
            <w:pPr>
              <w:pStyle w:val="Tabletext"/>
            </w:pPr>
            <w:r w:rsidRPr="00C32F0D">
              <w:t>Well</w:t>
            </w:r>
          </w:p>
        </w:tc>
        <w:tc>
          <w:tcPr>
            <w:tcW w:w="1607" w:type="dxa"/>
            <w:tcBorders>
              <w:top w:val="none" w:sz="0" w:space="0" w:color="auto"/>
              <w:bottom w:val="none" w:sz="0" w:space="0" w:color="auto"/>
            </w:tcBorders>
            <w:noWrap/>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p>
        </w:tc>
        <w:tc>
          <w:tcPr>
            <w:tcW w:w="1466" w:type="dxa"/>
            <w:tcBorders>
              <w:top w:val="none" w:sz="0" w:space="0" w:color="auto"/>
              <w:bottom w:val="none" w:sz="0" w:space="0" w:color="auto"/>
            </w:tcBorders>
            <w:noWrap/>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p>
        </w:tc>
        <w:tc>
          <w:tcPr>
            <w:tcW w:w="1413" w:type="dxa"/>
            <w:tcBorders>
              <w:top w:val="none" w:sz="0" w:space="0" w:color="auto"/>
              <w:bottom w:val="none" w:sz="0" w:space="0" w:color="auto"/>
            </w:tcBorders>
            <w:noWrap/>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p>
        </w:tc>
      </w:tr>
      <w:tr w:rsidR="005E74D2" w:rsidRPr="00C32F0D" w:rsidTr="00056B71">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Very well</w:t>
            </w:r>
          </w:p>
        </w:tc>
        <w:tc>
          <w:tcPr>
            <w:tcW w:w="1607" w:type="dxa"/>
            <w:noWrap/>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p>
        </w:tc>
        <w:tc>
          <w:tcPr>
            <w:tcW w:w="1466" w:type="dxa"/>
            <w:noWrap/>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p>
        </w:tc>
        <w:tc>
          <w:tcPr>
            <w:tcW w:w="1413" w:type="dxa"/>
            <w:noWrap/>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dotted" w:sz="4" w:space="0" w:color="auto"/>
              <w:right w:val="none" w:sz="0" w:space="0" w:color="auto"/>
            </w:tcBorders>
            <w:hideMark/>
          </w:tcPr>
          <w:p w:rsidR="005E74D2" w:rsidRPr="00C32F0D" w:rsidRDefault="005E74D2" w:rsidP="00D166C9">
            <w:pPr>
              <w:pStyle w:val="Tabletext"/>
            </w:pPr>
            <w:r w:rsidRPr="00C32F0D">
              <w:t>Unknown</w:t>
            </w:r>
          </w:p>
        </w:tc>
        <w:tc>
          <w:tcPr>
            <w:tcW w:w="1607" w:type="dxa"/>
            <w:tcBorders>
              <w:top w:val="none" w:sz="0" w:space="0" w:color="auto"/>
              <w:bottom w:val="dotted" w:sz="4" w:space="0" w:color="auto"/>
            </w:tcBorders>
            <w:noWrap/>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p>
        </w:tc>
        <w:tc>
          <w:tcPr>
            <w:tcW w:w="1466" w:type="dxa"/>
            <w:tcBorders>
              <w:top w:val="none" w:sz="0" w:space="0" w:color="auto"/>
              <w:bottom w:val="dotted" w:sz="4" w:space="0" w:color="auto"/>
            </w:tcBorders>
            <w:noWrap/>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p>
        </w:tc>
        <w:tc>
          <w:tcPr>
            <w:tcW w:w="1413" w:type="dxa"/>
            <w:tcBorders>
              <w:top w:val="none" w:sz="0" w:space="0" w:color="auto"/>
              <w:bottom w:val="dotted" w:sz="4" w:space="0" w:color="auto"/>
            </w:tcBorders>
            <w:noWrap/>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p>
        </w:tc>
      </w:tr>
      <w:tr w:rsidR="00056B71" w:rsidRPr="00056B71" w:rsidTr="00056B71">
        <w:trPr>
          <w:trHeight w:val="287"/>
        </w:trPr>
        <w:tc>
          <w:tcPr>
            <w:cnfStyle w:val="001000000000" w:firstRow="0" w:lastRow="0" w:firstColumn="1" w:lastColumn="0" w:oddVBand="0" w:evenVBand="0" w:oddHBand="0" w:evenHBand="0" w:firstRowFirstColumn="0" w:firstRowLastColumn="0" w:lastRowFirstColumn="0" w:lastRowLastColumn="0"/>
            <w:tcW w:w="8706" w:type="dxa"/>
            <w:gridSpan w:val="4"/>
            <w:tcBorders>
              <w:top w:val="dotted" w:sz="4" w:space="0" w:color="auto"/>
              <w:bottom w:val="dotted" w:sz="4" w:space="0" w:color="auto"/>
              <w:right w:val="nil"/>
            </w:tcBorders>
            <w:hideMark/>
          </w:tcPr>
          <w:p w:rsidR="00056B71" w:rsidRPr="00056B71" w:rsidRDefault="00056B71" w:rsidP="00056B71">
            <w:pPr>
              <w:pStyle w:val="Tabletext"/>
              <w:tabs>
                <w:tab w:val="decimal" w:pos="732"/>
                <w:tab w:val="decimal" w:pos="820"/>
              </w:tabs>
              <w:rPr>
                <w:b/>
              </w:rPr>
            </w:pPr>
            <w:r w:rsidRPr="00056B71">
              <w:rPr>
                <w:b/>
              </w:rPr>
              <w:t>Aboriginal or Torres Strait Islander descent  </w:t>
            </w: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dotted" w:sz="4" w:space="0" w:color="auto"/>
              <w:bottom w:val="none" w:sz="0" w:space="0" w:color="auto"/>
              <w:right w:val="none" w:sz="0" w:space="0" w:color="auto"/>
            </w:tcBorders>
            <w:hideMark/>
          </w:tcPr>
          <w:p w:rsidR="005E74D2" w:rsidRPr="00C32F0D" w:rsidRDefault="005E74D2" w:rsidP="00D166C9">
            <w:pPr>
              <w:pStyle w:val="Tabletext"/>
            </w:pPr>
            <w:r w:rsidRPr="00C32F0D">
              <w:t>Aboriginal</w:t>
            </w:r>
          </w:p>
        </w:tc>
        <w:tc>
          <w:tcPr>
            <w:tcW w:w="1607" w:type="dxa"/>
            <w:tcBorders>
              <w:top w:val="dotted" w:sz="4" w:space="0" w:color="auto"/>
              <w:bottom w:val="none" w:sz="0"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1</w:t>
            </w:r>
          </w:p>
        </w:tc>
        <w:tc>
          <w:tcPr>
            <w:tcW w:w="1466" w:type="dxa"/>
            <w:tcBorders>
              <w:top w:val="dotted" w:sz="4" w:space="0" w:color="auto"/>
              <w:bottom w:val="none" w:sz="0" w:space="0" w:color="auto"/>
            </w:tcBorders>
            <w:noWrap/>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p>
        </w:tc>
        <w:tc>
          <w:tcPr>
            <w:tcW w:w="1413" w:type="dxa"/>
            <w:tcBorders>
              <w:top w:val="dotted" w:sz="4" w:space="0" w:color="auto"/>
              <w:bottom w:val="none" w:sz="0" w:space="0" w:color="auto"/>
            </w:tcBorders>
            <w:noWrap/>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p>
        </w:tc>
      </w:tr>
      <w:tr w:rsidR="005E74D2" w:rsidRPr="00C32F0D" w:rsidTr="00056B71">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Torres Strait Islander</w:t>
            </w:r>
          </w:p>
        </w:tc>
        <w:tc>
          <w:tcPr>
            <w:tcW w:w="1607" w:type="dxa"/>
            <w:noWrap/>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p>
        </w:tc>
        <w:tc>
          <w:tcPr>
            <w:tcW w:w="1466" w:type="dxa"/>
            <w:noWrap/>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p>
        </w:tc>
        <w:tc>
          <w:tcPr>
            <w:tcW w:w="1413" w:type="dxa"/>
            <w:noWrap/>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none" w:sz="0" w:space="0" w:color="auto"/>
              <w:right w:val="none" w:sz="0" w:space="0" w:color="auto"/>
            </w:tcBorders>
            <w:hideMark/>
          </w:tcPr>
          <w:p w:rsidR="005E74D2" w:rsidRPr="00C32F0D" w:rsidRDefault="005E74D2" w:rsidP="00D166C9">
            <w:pPr>
              <w:pStyle w:val="Tabletext"/>
            </w:pPr>
            <w:r w:rsidRPr="00C32F0D">
              <w:t>Both</w:t>
            </w:r>
          </w:p>
        </w:tc>
        <w:tc>
          <w:tcPr>
            <w:tcW w:w="1607" w:type="dxa"/>
            <w:tcBorders>
              <w:top w:val="none" w:sz="0" w:space="0" w:color="auto"/>
              <w:bottom w:val="none" w:sz="0" w:space="0" w:color="auto"/>
            </w:tcBorders>
            <w:noWrap/>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p>
        </w:tc>
        <w:tc>
          <w:tcPr>
            <w:tcW w:w="1466" w:type="dxa"/>
            <w:tcBorders>
              <w:top w:val="none" w:sz="0" w:space="0" w:color="auto"/>
              <w:bottom w:val="none" w:sz="0" w:space="0" w:color="auto"/>
            </w:tcBorders>
            <w:noWrap/>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p>
        </w:tc>
        <w:tc>
          <w:tcPr>
            <w:tcW w:w="1413" w:type="dxa"/>
            <w:tcBorders>
              <w:top w:val="none" w:sz="0" w:space="0" w:color="auto"/>
              <w:bottom w:val="none" w:sz="0" w:space="0" w:color="auto"/>
            </w:tcBorders>
            <w:noWrap/>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p>
        </w:tc>
      </w:tr>
      <w:tr w:rsidR="005E74D2" w:rsidRPr="00C32F0D" w:rsidTr="00D166C9">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No</w:t>
            </w:r>
          </w:p>
        </w:tc>
        <w:tc>
          <w:tcPr>
            <w:tcW w:w="1607" w:type="dxa"/>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8</w:t>
            </w:r>
          </w:p>
        </w:tc>
        <w:tc>
          <w:tcPr>
            <w:tcW w:w="1466" w:type="dxa"/>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6</w:t>
            </w:r>
          </w:p>
        </w:tc>
        <w:tc>
          <w:tcPr>
            <w:tcW w:w="1413" w:type="dxa"/>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7</w:t>
            </w: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dotted" w:sz="4" w:space="0" w:color="auto"/>
              <w:right w:val="none" w:sz="0" w:space="0" w:color="auto"/>
            </w:tcBorders>
            <w:hideMark/>
          </w:tcPr>
          <w:p w:rsidR="005E74D2" w:rsidRPr="00C32F0D" w:rsidRDefault="005E74D2" w:rsidP="00D166C9">
            <w:pPr>
              <w:pStyle w:val="Tabletext"/>
            </w:pPr>
            <w:r w:rsidRPr="00C32F0D">
              <w:t>Unk</w:t>
            </w:r>
            <w:r w:rsidR="00056B71">
              <w:t>n</w:t>
            </w:r>
            <w:r w:rsidRPr="00C32F0D">
              <w:t>own</w:t>
            </w:r>
          </w:p>
        </w:tc>
        <w:tc>
          <w:tcPr>
            <w:tcW w:w="1607" w:type="dxa"/>
            <w:tcBorders>
              <w:top w:val="none" w:sz="0" w:space="0" w:color="auto"/>
              <w:bottom w:val="dotted" w:sz="4" w:space="0" w:color="auto"/>
            </w:tcBorders>
            <w:noWrap/>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p>
        </w:tc>
        <w:tc>
          <w:tcPr>
            <w:tcW w:w="1466" w:type="dxa"/>
            <w:tcBorders>
              <w:top w:val="none" w:sz="0" w:space="0" w:color="auto"/>
              <w:bottom w:val="dotted" w:sz="4" w:space="0" w:color="auto"/>
            </w:tcBorders>
            <w:noWrap/>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p>
        </w:tc>
        <w:tc>
          <w:tcPr>
            <w:tcW w:w="1413" w:type="dxa"/>
            <w:tcBorders>
              <w:top w:val="none" w:sz="0" w:space="0" w:color="auto"/>
              <w:bottom w:val="dotted" w:sz="4" w:space="0" w:color="auto"/>
            </w:tcBorders>
            <w:noWrap/>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p>
        </w:tc>
      </w:tr>
      <w:tr w:rsidR="00056B71" w:rsidRPr="00056B71" w:rsidTr="00056B71">
        <w:trPr>
          <w:trHeight w:val="287"/>
        </w:trPr>
        <w:tc>
          <w:tcPr>
            <w:cnfStyle w:val="001000000000" w:firstRow="0" w:lastRow="0" w:firstColumn="1" w:lastColumn="0" w:oddVBand="0" w:evenVBand="0" w:oddHBand="0" w:evenHBand="0" w:firstRowFirstColumn="0" w:firstRowLastColumn="0" w:lastRowFirstColumn="0" w:lastRowLastColumn="0"/>
            <w:tcW w:w="8706" w:type="dxa"/>
            <w:gridSpan w:val="4"/>
            <w:tcBorders>
              <w:top w:val="dotted" w:sz="4" w:space="0" w:color="auto"/>
              <w:bottom w:val="dotted" w:sz="4" w:space="0" w:color="auto"/>
              <w:right w:val="nil"/>
            </w:tcBorders>
            <w:hideMark/>
          </w:tcPr>
          <w:p w:rsidR="00056B71" w:rsidRPr="00056B71" w:rsidRDefault="00056B71" w:rsidP="00056B71">
            <w:pPr>
              <w:pStyle w:val="Tabletext"/>
              <w:tabs>
                <w:tab w:val="decimal" w:pos="732"/>
                <w:tab w:val="decimal" w:pos="820"/>
              </w:tabs>
              <w:rPr>
                <w:b/>
              </w:rPr>
            </w:pPr>
            <w:r w:rsidRPr="00056B71">
              <w:rPr>
                <w:b/>
              </w:rPr>
              <w:t>Age group</w:t>
            </w:r>
          </w:p>
        </w:tc>
      </w:tr>
      <w:tr w:rsidR="005E74D2" w:rsidRPr="00C32F0D"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dotted" w:sz="4" w:space="0" w:color="auto"/>
              <w:bottom w:val="none" w:sz="0" w:space="0" w:color="auto"/>
              <w:right w:val="none" w:sz="0" w:space="0" w:color="auto"/>
            </w:tcBorders>
            <w:hideMark/>
          </w:tcPr>
          <w:p w:rsidR="005E74D2" w:rsidRPr="00C32F0D" w:rsidRDefault="005E74D2" w:rsidP="00D166C9">
            <w:pPr>
              <w:pStyle w:val="Tabletext"/>
            </w:pPr>
            <w:r w:rsidRPr="00C32F0D">
              <w:t>40-49</w:t>
            </w:r>
          </w:p>
        </w:tc>
        <w:tc>
          <w:tcPr>
            <w:tcW w:w="1607" w:type="dxa"/>
            <w:tcBorders>
              <w:top w:val="dotted" w:sz="4" w:space="0" w:color="auto"/>
              <w:bottom w:val="none" w:sz="0"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0</w:t>
            </w:r>
          </w:p>
        </w:tc>
        <w:tc>
          <w:tcPr>
            <w:tcW w:w="1466" w:type="dxa"/>
            <w:tcBorders>
              <w:top w:val="dotted" w:sz="4" w:space="0" w:color="auto"/>
              <w:bottom w:val="none" w:sz="0"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0</w:t>
            </w:r>
          </w:p>
        </w:tc>
        <w:tc>
          <w:tcPr>
            <w:tcW w:w="1413" w:type="dxa"/>
            <w:tcBorders>
              <w:top w:val="dotted" w:sz="4" w:space="0" w:color="auto"/>
              <w:bottom w:val="none" w:sz="0"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3</w:t>
            </w:r>
          </w:p>
        </w:tc>
      </w:tr>
      <w:tr w:rsidR="005E74D2" w:rsidRPr="00C32F0D" w:rsidTr="00D166C9">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50-59</w:t>
            </w:r>
          </w:p>
        </w:tc>
        <w:tc>
          <w:tcPr>
            <w:tcW w:w="1607" w:type="dxa"/>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6</w:t>
            </w:r>
          </w:p>
        </w:tc>
        <w:tc>
          <w:tcPr>
            <w:tcW w:w="1466" w:type="dxa"/>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4</w:t>
            </w:r>
          </w:p>
        </w:tc>
        <w:tc>
          <w:tcPr>
            <w:tcW w:w="1413" w:type="dxa"/>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3</w:t>
            </w:r>
          </w:p>
        </w:tc>
      </w:tr>
      <w:tr w:rsidR="005E74D2" w:rsidRPr="00C32F0D" w:rsidTr="00D166C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none" w:sz="0" w:space="0" w:color="auto"/>
              <w:right w:val="none" w:sz="0" w:space="0" w:color="auto"/>
            </w:tcBorders>
            <w:hideMark/>
          </w:tcPr>
          <w:p w:rsidR="005E74D2" w:rsidRPr="00C32F0D" w:rsidRDefault="005E74D2" w:rsidP="00D166C9">
            <w:pPr>
              <w:pStyle w:val="Tabletext"/>
            </w:pPr>
            <w:r w:rsidRPr="00C32F0D">
              <w:t>60-65</w:t>
            </w:r>
          </w:p>
        </w:tc>
        <w:tc>
          <w:tcPr>
            <w:tcW w:w="1607" w:type="dxa"/>
            <w:tcBorders>
              <w:top w:val="none" w:sz="0" w:space="0" w:color="auto"/>
              <w:bottom w:val="none" w:sz="0"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1</w:t>
            </w:r>
          </w:p>
        </w:tc>
        <w:tc>
          <w:tcPr>
            <w:tcW w:w="1466" w:type="dxa"/>
            <w:tcBorders>
              <w:top w:val="none" w:sz="0" w:space="0" w:color="auto"/>
              <w:bottom w:val="none" w:sz="0"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2</w:t>
            </w:r>
          </w:p>
        </w:tc>
        <w:tc>
          <w:tcPr>
            <w:tcW w:w="1413" w:type="dxa"/>
            <w:tcBorders>
              <w:top w:val="none" w:sz="0" w:space="0" w:color="auto"/>
              <w:bottom w:val="none" w:sz="0"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0</w:t>
            </w:r>
          </w:p>
        </w:tc>
      </w:tr>
      <w:tr w:rsidR="005E74D2" w:rsidRPr="00C32F0D" w:rsidTr="00D166C9">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66-75</w:t>
            </w:r>
          </w:p>
        </w:tc>
        <w:tc>
          <w:tcPr>
            <w:tcW w:w="1607" w:type="dxa"/>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2</w:t>
            </w:r>
          </w:p>
        </w:tc>
        <w:tc>
          <w:tcPr>
            <w:tcW w:w="1466" w:type="dxa"/>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0</w:t>
            </w:r>
          </w:p>
        </w:tc>
        <w:tc>
          <w:tcPr>
            <w:tcW w:w="1413" w:type="dxa"/>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1</w:t>
            </w:r>
          </w:p>
        </w:tc>
      </w:tr>
      <w:tr w:rsidR="005E74D2" w:rsidRPr="00C32F0D" w:rsidTr="00D166C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none" w:sz="0" w:space="0" w:color="auto"/>
              <w:right w:val="none" w:sz="0" w:space="0" w:color="auto"/>
            </w:tcBorders>
            <w:hideMark/>
          </w:tcPr>
          <w:p w:rsidR="005E74D2" w:rsidRPr="00C32F0D" w:rsidRDefault="005E74D2" w:rsidP="00D166C9">
            <w:pPr>
              <w:pStyle w:val="Tabletext"/>
            </w:pPr>
            <w:r w:rsidRPr="00C32F0D">
              <w:t>75+</w:t>
            </w:r>
          </w:p>
        </w:tc>
        <w:tc>
          <w:tcPr>
            <w:tcW w:w="1607" w:type="dxa"/>
            <w:tcBorders>
              <w:top w:val="none" w:sz="0" w:space="0" w:color="auto"/>
              <w:bottom w:val="none" w:sz="0" w:space="0" w:color="auto"/>
            </w:tcBorders>
            <w:noWrap/>
            <w:hideMark/>
          </w:tcPr>
          <w:p w:rsidR="005E74D2" w:rsidRPr="00C32F0D" w:rsidRDefault="00056B71"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t>0</w:t>
            </w:r>
          </w:p>
        </w:tc>
        <w:tc>
          <w:tcPr>
            <w:tcW w:w="1466" w:type="dxa"/>
            <w:tcBorders>
              <w:top w:val="none" w:sz="0" w:space="0" w:color="auto"/>
              <w:bottom w:val="none" w:sz="0" w:space="0" w:color="auto"/>
            </w:tcBorders>
            <w:noWrap/>
            <w:hideMark/>
          </w:tcPr>
          <w:p w:rsidR="005E74D2" w:rsidRPr="00C32F0D" w:rsidRDefault="00056B71"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t>0</w:t>
            </w:r>
          </w:p>
        </w:tc>
        <w:tc>
          <w:tcPr>
            <w:tcW w:w="1413" w:type="dxa"/>
            <w:tcBorders>
              <w:top w:val="none" w:sz="0" w:space="0" w:color="auto"/>
              <w:bottom w:val="none" w:sz="0" w:space="0" w:color="auto"/>
            </w:tcBorders>
            <w:noWrap/>
            <w:hideMark/>
          </w:tcPr>
          <w:p w:rsidR="005E74D2" w:rsidRPr="00C32F0D" w:rsidRDefault="00056B71"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t>0</w:t>
            </w:r>
          </w:p>
        </w:tc>
      </w:tr>
      <w:tr w:rsidR="005E74D2" w:rsidRPr="00C32F0D" w:rsidTr="00056B71">
        <w:trPr>
          <w:trHeight w:val="287"/>
        </w:trPr>
        <w:tc>
          <w:tcPr>
            <w:cnfStyle w:val="001000000000" w:firstRow="0" w:lastRow="0" w:firstColumn="1" w:lastColumn="0" w:oddVBand="0" w:evenVBand="0" w:oddHBand="0" w:evenHBand="0" w:firstRowFirstColumn="0" w:firstRowLastColumn="0" w:lastRowFirstColumn="0" w:lastRowLastColumn="0"/>
            <w:tcW w:w="4220" w:type="dxa"/>
            <w:tcBorders>
              <w:bottom w:val="dotted" w:sz="4" w:space="0" w:color="auto"/>
              <w:right w:val="none" w:sz="0" w:space="0" w:color="auto"/>
            </w:tcBorders>
            <w:hideMark/>
          </w:tcPr>
          <w:p w:rsidR="005E74D2" w:rsidRPr="00C32F0D" w:rsidRDefault="005E74D2" w:rsidP="00D166C9">
            <w:pPr>
              <w:pStyle w:val="Tabletext"/>
            </w:pPr>
            <w:r w:rsidRPr="00C32F0D">
              <w:t>Unknown</w:t>
            </w:r>
          </w:p>
        </w:tc>
        <w:tc>
          <w:tcPr>
            <w:tcW w:w="1607" w:type="dxa"/>
            <w:tcBorders>
              <w:bottom w:val="dotted" w:sz="4" w:space="0" w:color="auto"/>
            </w:tcBorders>
            <w:noWrap/>
            <w:hideMark/>
          </w:tcPr>
          <w:p w:rsidR="005E74D2" w:rsidRPr="00C32F0D" w:rsidRDefault="00056B71"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t>0</w:t>
            </w:r>
          </w:p>
        </w:tc>
        <w:tc>
          <w:tcPr>
            <w:tcW w:w="1466" w:type="dxa"/>
            <w:tcBorders>
              <w:bottom w:val="dotted" w:sz="4" w:space="0" w:color="auto"/>
            </w:tcBorders>
            <w:noWrap/>
            <w:hideMark/>
          </w:tcPr>
          <w:p w:rsidR="005E74D2" w:rsidRPr="00C32F0D" w:rsidRDefault="00056B71"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t>0</w:t>
            </w:r>
          </w:p>
        </w:tc>
        <w:tc>
          <w:tcPr>
            <w:tcW w:w="1413" w:type="dxa"/>
            <w:tcBorders>
              <w:bottom w:val="dotted" w:sz="4" w:space="0" w:color="auto"/>
            </w:tcBorders>
            <w:noWrap/>
            <w:hideMark/>
          </w:tcPr>
          <w:p w:rsidR="005E74D2" w:rsidRPr="00C32F0D" w:rsidRDefault="00056B71"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t>0</w:t>
            </w:r>
          </w:p>
        </w:tc>
      </w:tr>
      <w:tr w:rsidR="00056B71" w:rsidRPr="00056B71" w:rsidTr="00056B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706" w:type="dxa"/>
            <w:gridSpan w:val="4"/>
            <w:tcBorders>
              <w:top w:val="dotted" w:sz="4" w:space="0" w:color="auto"/>
              <w:bottom w:val="dotted" w:sz="4" w:space="0" w:color="auto"/>
              <w:right w:val="nil"/>
            </w:tcBorders>
            <w:hideMark/>
          </w:tcPr>
          <w:p w:rsidR="00056B71" w:rsidRPr="00056B71" w:rsidRDefault="00056B71" w:rsidP="00056B71">
            <w:pPr>
              <w:pStyle w:val="Tabletext"/>
              <w:tabs>
                <w:tab w:val="decimal" w:pos="732"/>
                <w:tab w:val="decimal" w:pos="820"/>
              </w:tabs>
              <w:rPr>
                <w:b/>
              </w:rPr>
            </w:pPr>
            <w:r w:rsidRPr="00056B71">
              <w:rPr>
                <w:b/>
              </w:rPr>
              <w:t>Employment status </w:t>
            </w:r>
          </w:p>
        </w:tc>
      </w:tr>
      <w:tr w:rsidR="005E74D2" w:rsidRPr="00C32F0D" w:rsidTr="00056B71">
        <w:trPr>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dotted" w:sz="4" w:space="0" w:color="auto"/>
              <w:right w:val="none" w:sz="0" w:space="0" w:color="auto"/>
            </w:tcBorders>
            <w:hideMark/>
          </w:tcPr>
          <w:p w:rsidR="005E74D2" w:rsidRPr="00C32F0D" w:rsidRDefault="005E74D2" w:rsidP="00D166C9">
            <w:pPr>
              <w:pStyle w:val="Tabletext"/>
            </w:pPr>
            <w:r w:rsidRPr="00C32F0D">
              <w:t>Full-time</w:t>
            </w:r>
          </w:p>
        </w:tc>
        <w:tc>
          <w:tcPr>
            <w:tcW w:w="1607" w:type="dxa"/>
            <w:tcBorders>
              <w:top w:val="dotted" w:sz="4" w:space="0" w:color="auto"/>
            </w:tcBorders>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3</w:t>
            </w:r>
          </w:p>
        </w:tc>
        <w:tc>
          <w:tcPr>
            <w:tcW w:w="1466" w:type="dxa"/>
            <w:tcBorders>
              <w:top w:val="dotted" w:sz="4" w:space="0" w:color="auto"/>
            </w:tcBorders>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3</w:t>
            </w:r>
          </w:p>
        </w:tc>
        <w:tc>
          <w:tcPr>
            <w:tcW w:w="1413" w:type="dxa"/>
            <w:tcBorders>
              <w:top w:val="dotted" w:sz="4" w:space="0" w:color="auto"/>
            </w:tcBorders>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2</w:t>
            </w:r>
          </w:p>
        </w:tc>
      </w:tr>
      <w:tr w:rsidR="005E74D2" w:rsidRPr="00C32F0D" w:rsidTr="00D166C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none" w:sz="0" w:space="0" w:color="auto"/>
              <w:right w:val="none" w:sz="0" w:space="0" w:color="auto"/>
            </w:tcBorders>
            <w:hideMark/>
          </w:tcPr>
          <w:p w:rsidR="005E74D2" w:rsidRPr="00C32F0D" w:rsidRDefault="005E74D2" w:rsidP="00D166C9">
            <w:pPr>
              <w:pStyle w:val="Tabletext"/>
            </w:pPr>
            <w:r w:rsidRPr="00C32F0D">
              <w:t>Part-time</w:t>
            </w:r>
          </w:p>
        </w:tc>
        <w:tc>
          <w:tcPr>
            <w:tcW w:w="1607" w:type="dxa"/>
            <w:tcBorders>
              <w:top w:val="none" w:sz="0" w:space="0" w:color="auto"/>
              <w:bottom w:val="none" w:sz="0" w:space="0" w:color="auto"/>
            </w:tcBorders>
            <w:noWrap/>
            <w:hideMark/>
          </w:tcPr>
          <w:p w:rsidR="005E74D2" w:rsidRPr="00C32F0D" w:rsidRDefault="00056B71"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t>0</w:t>
            </w:r>
          </w:p>
        </w:tc>
        <w:tc>
          <w:tcPr>
            <w:tcW w:w="1466" w:type="dxa"/>
            <w:tcBorders>
              <w:top w:val="none" w:sz="0" w:space="0" w:color="auto"/>
              <w:bottom w:val="none" w:sz="0" w:space="0" w:color="auto"/>
            </w:tcBorders>
            <w:noWrap/>
            <w:hideMark/>
          </w:tcPr>
          <w:p w:rsidR="005E74D2" w:rsidRPr="00C32F0D" w:rsidRDefault="00056B71"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t>0</w:t>
            </w:r>
          </w:p>
        </w:tc>
        <w:tc>
          <w:tcPr>
            <w:tcW w:w="1413" w:type="dxa"/>
            <w:tcBorders>
              <w:top w:val="none" w:sz="0" w:space="0" w:color="auto"/>
              <w:bottom w:val="none" w:sz="0" w:space="0" w:color="auto"/>
            </w:tcBorders>
            <w:noWrap/>
            <w:hideMark/>
          </w:tcPr>
          <w:p w:rsidR="005E74D2" w:rsidRPr="00C32F0D" w:rsidRDefault="00056B71"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t>0</w:t>
            </w:r>
          </w:p>
        </w:tc>
      </w:tr>
      <w:tr w:rsidR="005E74D2" w:rsidRPr="00C32F0D" w:rsidTr="00D166C9">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Contract</w:t>
            </w:r>
          </w:p>
        </w:tc>
        <w:tc>
          <w:tcPr>
            <w:tcW w:w="1607" w:type="dxa"/>
            <w:noWrap/>
            <w:hideMark/>
          </w:tcPr>
          <w:p w:rsidR="005E74D2" w:rsidRPr="00C32F0D" w:rsidRDefault="00056B71"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t>0</w:t>
            </w:r>
          </w:p>
        </w:tc>
        <w:tc>
          <w:tcPr>
            <w:tcW w:w="1466" w:type="dxa"/>
            <w:noWrap/>
            <w:hideMark/>
          </w:tcPr>
          <w:p w:rsidR="005E74D2" w:rsidRPr="00C32F0D" w:rsidRDefault="00056B71"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t>0</w:t>
            </w:r>
          </w:p>
        </w:tc>
        <w:tc>
          <w:tcPr>
            <w:tcW w:w="1413" w:type="dxa"/>
            <w:noWrap/>
            <w:hideMark/>
          </w:tcPr>
          <w:p w:rsidR="005E74D2" w:rsidRPr="00C32F0D" w:rsidRDefault="00056B71"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t>0</w:t>
            </w:r>
          </w:p>
        </w:tc>
      </w:tr>
      <w:tr w:rsidR="005E74D2" w:rsidRPr="00C32F0D" w:rsidTr="00D166C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bottom w:val="none" w:sz="0" w:space="0" w:color="auto"/>
              <w:right w:val="none" w:sz="0" w:space="0" w:color="auto"/>
            </w:tcBorders>
            <w:hideMark/>
          </w:tcPr>
          <w:p w:rsidR="005E74D2" w:rsidRPr="00C32F0D" w:rsidRDefault="005E74D2" w:rsidP="00D166C9">
            <w:pPr>
              <w:pStyle w:val="Tabletext"/>
            </w:pPr>
            <w:r w:rsidRPr="00C32F0D">
              <w:t>Casual</w:t>
            </w:r>
          </w:p>
        </w:tc>
        <w:tc>
          <w:tcPr>
            <w:tcW w:w="1607" w:type="dxa"/>
            <w:tcBorders>
              <w:top w:val="none" w:sz="0" w:space="0" w:color="auto"/>
              <w:bottom w:val="none" w:sz="0"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3</w:t>
            </w:r>
          </w:p>
        </w:tc>
        <w:tc>
          <w:tcPr>
            <w:tcW w:w="1466" w:type="dxa"/>
            <w:tcBorders>
              <w:top w:val="none" w:sz="0" w:space="0" w:color="auto"/>
              <w:bottom w:val="none" w:sz="0"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 </w:t>
            </w:r>
          </w:p>
        </w:tc>
        <w:tc>
          <w:tcPr>
            <w:tcW w:w="1413" w:type="dxa"/>
            <w:tcBorders>
              <w:top w:val="none" w:sz="0" w:space="0" w:color="auto"/>
              <w:bottom w:val="none" w:sz="0"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3</w:t>
            </w:r>
          </w:p>
        </w:tc>
      </w:tr>
      <w:tr w:rsidR="005E74D2" w:rsidRPr="00C32F0D" w:rsidTr="00D166C9">
        <w:trPr>
          <w:trHeight w:val="287"/>
        </w:trPr>
        <w:tc>
          <w:tcPr>
            <w:cnfStyle w:val="001000000000" w:firstRow="0" w:lastRow="0" w:firstColumn="1" w:lastColumn="0" w:oddVBand="0" w:evenVBand="0" w:oddHBand="0" w:evenHBand="0" w:firstRowFirstColumn="0" w:firstRowLastColumn="0" w:lastRowFirstColumn="0" w:lastRowLastColumn="0"/>
            <w:tcW w:w="4220" w:type="dxa"/>
            <w:tcBorders>
              <w:right w:val="none" w:sz="0" w:space="0" w:color="auto"/>
            </w:tcBorders>
            <w:hideMark/>
          </w:tcPr>
          <w:p w:rsidR="005E74D2" w:rsidRPr="00C32F0D" w:rsidRDefault="005E74D2" w:rsidP="00D166C9">
            <w:pPr>
              <w:pStyle w:val="Tabletext"/>
            </w:pPr>
            <w:r w:rsidRPr="00C32F0D">
              <w:t>Unemployed</w:t>
            </w:r>
          </w:p>
        </w:tc>
        <w:tc>
          <w:tcPr>
            <w:tcW w:w="1607" w:type="dxa"/>
            <w:noWrap/>
            <w:hideMark/>
          </w:tcPr>
          <w:p w:rsidR="005E74D2" w:rsidRPr="00C32F0D" w:rsidRDefault="005E74D2" w:rsidP="00056B71">
            <w:pPr>
              <w:pStyle w:val="Tabletext"/>
              <w:tabs>
                <w:tab w:val="decimal" w:pos="820"/>
              </w:tabs>
              <w:cnfStyle w:val="000000000000" w:firstRow="0" w:lastRow="0" w:firstColumn="0" w:lastColumn="0" w:oddVBand="0" w:evenVBand="0" w:oddHBand="0" w:evenHBand="0" w:firstRowFirstColumn="0" w:firstRowLastColumn="0" w:lastRowFirstColumn="0" w:lastRowLastColumn="0"/>
            </w:pPr>
            <w:r w:rsidRPr="00C32F0D">
              <w:t>2</w:t>
            </w:r>
          </w:p>
        </w:tc>
        <w:tc>
          <w:tcPr>
            <w:tcW w:w="1466" w:type="dxa"/>
            <w:noWrap/>
            <w:hideMark/>
          </w:tcPr>
          <w:p w:rsidR="005E74D2" w:rsidRPr="00C32F0D" w:rsidRDefault="005E74D2" w:rsidP="00056B71">
            <w:pPr>
              <w:pStyle w:val="Tabletext"/>
              <w:tabs>
                <w:tab w:val="decimal" w:pos="713"/>
              </w:tabs>
              <w:cnfStyle w:val="000000000000" w:firstRow="0" w:lastRow="0" w:firstColumn="0" w:lastColumn="0" w:oddVBand="0" w:evenVBand="0" w:oddHBand="0" w:evenHBand="0" w:firstRowFirstColumn="0" w:firstRowLastColumn="0" w:lastRowFirstColumn="0" w:lastRowLastColumn="0"/>
            </w:pPr>
            <w:r w:rsidRPr="00C32F0D">
              <w:t>2</w:t>
            </w:r>
          </w:p>
        </w:tc>
        <w:tc>
          <w:tcPr>
            <w:tcW w:w="1413" w:type="dxa"/>
            <w:noWrap/>
            <w:hideMark/>
          </w:tcPr>
          <w:p w:rsidR="005E74D2" w:rsidRPr="00C32F0D" w:rsidRDefault="005E74D2" w:rsidP="00056B71">
            <w:pPr>
              <w:pStyle w:val="Tabletext"/>
              <w:tabs>
                <w:tab w:val="decimal" w:pos="732"/>
              </w:tabs>
              <w:cnfStyle w:val="000000000000" w:firstRow="0" w:lastRow="0" w:firstColumn="0" w:lastColumn="0" w:oddVBand="0" w:evenVBand="0" w:oddHBand="0" w:evenHBand="0" w:firstRowFirstColumn="0" w:firstRowLastColumn="0" w:lastRowFirstColumn="0" w:lastRowLastColumn="0"/>
            </w:pPr>
            <w:r w:rsidRPr="00C32F0D">
              <w:t>1</w:t>
            </w:r>
          </w:p>
        </w:tc>
      </w:tr>
      <w:tr w:rsidR="005E74D2" w:rsidRPr="00C32F0D" w:rsidTr="00D166C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0" w:type="dxa"/>
            <w:tcBorders>
              <w:top w:val="none" w:sz="0" w:space="0" w:color="auto"/>
              <w:right w:val="none" w:sz="0" w:space="0" w:color="auto"/>
            </w:tcBorders>
            <w:hideMark/>
          </w:tcPr>
          <w:p w:rsidR="005E74D2" w:rsidRPr="00C32F0D" w:rsidRDefault="005E74D2" w:rsidP="00D166C9">
            <w:pPr>
              <w:pStyle w:val="Tabletext"/>
            </w:pPr>
            <w:r w:rsidRPr="00C32F0D">
              <w:lastRenderedPageBreak/>
              <w:t>Unknown</w:t>
            </w:r>
          </w:p>
        </w:tc>
        <w:tc>
          <w:tcPr>
            <w:tcW w:w="1607" w:type="dxa"/>
            <w:tcBorders>
              <w:top w:val="none" w:sz="0" w:space="0" w:color="auto"/>
              <w:bottom w:val="none" w:sz="0" w:space="0" w:color="auto"/>
            </w:tcBorders>
            <w:noWrap/>
            <w:hideMark/>
          </w:tcPr>
          <w:p w:rsidR="005E74D2" w:rsidRPr="00C32F0D" w:rsidRDefault="005E74D2" w:rsidP="00056B71">
            <w:pPr>
              <w:pStyle w:val="Tabletext"/>
              <w:tabs>
                <w:tab w:val="decimal" w:pos="820"/>
              </w:tabs>
              <w:cnfStyle w:val="000000100000" w:firstRow="0" w:lastRow="0" w:firstColumn="0" w:lastColumn="0" w:oddVBand="0" w:evenVBand="0" w:oddHBand="1" w:evenHBand="0" w:firstRowFirstColumn="0" w:firstRowLastColumn="0" w:lastRowFirstColumn="0" w:lastRowLastColumn="0"/>
            </w:pPr>
            <w:r w:rsidRPr="00C32F0D">
              <w:t>1</w:t>
            </w:r>
          </w:p>
        </w:tc>
        <w:tc>
          <w:tcPr>
            <w:tcW w:w="1466" w:type="dxa"/>
            <w:tcBorders>
              <w:top w:val="none" w:sz="0" w:space="0" w:color="auto"/>
              <w:bottom w:val="none" w:sz="0" w:space="0" w:color="auto"/>
            </w:tcBorders>
            <w:noWrap/>
            <w:hideMark/>
          </w:tcPr>
          <w:p w:rsidR="005E74D2" w:rsidRPr="00C32F0D" w:rsidRDefault="005E74D2" w:rsidP="00056B71">
            <w:pPr>
              <w:pStyle w:val="Tabletext"/>
              <w:tabs>
                <w:tab w:val="decimal" w:pos="713"/>
              </w:tabs>
              <w:cnfStyle w:val="000000100000" w:firstRow="0" w:lastRow="0" w:firstColumn="0" w:lastColumn="0" w:oddVBand="0" w:evenVBand="0" w:oddHBand="1" w:evenHBand="0" w:firstRowFirstColumn="0" w:firstRowLastColumn="0" w:lastRowFirstColumn="0" w:lastRowLastColumn="0"/>
            </w:pPr>
            <w:r w:rsidRPr="00C32F0D">
              <w:t>1</w:t>
            </w:r>
          </w:p>
        </w:tc>
        <w:tc>
          <w:tcPr>
            <w:tcW w:w="1413" w:type="dxa"/>
            <w:tcBorders>
              <w:top w:val="none" w:sz="0" w:space="0" w:color="auto"/>
              <w:bottom w:val="none" w:sz="0" w:space="0" w:color="auto"/>
            </w:tcBorders>
            <w:noWrap/>
            <w:hideMark/>
          </w:tcPr>
          <w:p w:rsidR="005E74D2" w:rsidRPr="00C32F0D" w:rsidRDefault="005E74D2" w:rsidP="00056B71">
            <w:pPr>
              <w:pStyle w:val="Tabletext"/>
              <w:tabs>
                <w:tab w:val="decimal" w:pos="732"/>
              </w:tabs>
              <w:cnfStyle w:val="000000100000" w:firstRow="0" w:lastRow="0" w:firstColumn="0" w:lastColumn="0" w:oddVBand="0" w:evenVBand="0" w:oddHBand="1" w:evenHBand="0" w:firstRowFirstColumn="0" w:firstRowLastColumn="0" w:lastRowFirstColumn="0" w:lastRowLastColumn="0"/>
            </w:pPr>
            <w:r w:rsidRPr="00C32F0D">
              <w:t>1</w:t>
            </w:r>
          </w:p>
        </w:tc>
      </w:tr>
    </w:tbl>
    <w:p w:rsidR="004D0140" w:rsidRPr="006B5926" w:rsidRDefault="00CA4B42" w:rsidP="006B5926">
      <w:pPr>
        <w:pStyle w:val="Heading2"/>
      </w:pPr>
      <w:bookmarkStart w:id="20" w:name="_Toc441923567"/>
      <w:r w:rsidRPr="006B5926">
        <w:t>Respondent demographics</w:t>
      </w:r>
      <w:bookmarkEnd w:id="20"/>
    </w:p>
    <w:p w:rsidR="00DD2371" w:rsidRPr="00DD2371" w:rsidRDefault="00DD2371" w:rsidP="00DD2371">
      <w:r>
        <w:t xml:space="preserve">Table 4 provides a breakdown of the industry sector and size of the </w:t>
      </w:r>
      <w:r w:rsidR="00056B71">
        <w:t xml:space="preserve">respondent </w:t>
      </w:r>
      <w:r>
        <w:t>organisation identified by complainants</w:t>
      </w:r>
      <w:proofErr w:type="gramStart"/>
      <w:r>
        <w:t xml:space="preserve">. </w:t>
      </w:r>
      <w:proofErr w:type="gramEnd"/>
      <w:r>
        <w:t>This relates for the most part to the employing organisation against which the complaint has been made. Whilst the range of industry sector varies, those providing health care and social assistance (such as hospital</w:t>
      </w:r>
      <w:r w:rsidR="00C81BBE">
        <w:t>s, nursing and residential care and child care services</w:t>
      </w:r>
      <w:r>
        <w:t xml:space="preserve">) has been identified by complainants in each year of recorded complaints. </w:t>
      </w:r>
      <w:r w:rsidR="00C81BBE">
        <w:t>Whilst this is in large part due to the size of the industry sector, it also reflects the fact that a significant proportion of those employed in this sector are low-skilled and often engaged in part-time work or have les</w:t>
      </w:r>
      <w:r w:rsidR="00E444AD">
        <w:t>s secure workforce attachment</w:t>
      </w:r>
      <w:proofErr w:type="gramStart"/>
      <w:r w:rsidR="00E444AD">
        <w:t xml:space="preserve">. </w:t>
      </w:r>
      <w:proofErr w:type="gramEnd"/>
      <w:r w:rsidR="00C81BBE">
        <w:t xml:space="preserve">It is also a sector that employs </w:t>
      </w:r>
      <w:r w:rsidR="007D3063">
        <w:t>a high number of mature age workers</w:t>
      </w:r>
      <w:r w:rsidR="00C81BBE">
        <w:t xml:space="preserve">. </w:t>
      </w:r>
    </w:p>
    <w:p w:rsidR="006B5926" w:rsidRPr="005E74D2" w:rsidRDefault="006B5926" w:rsidP="006B5926">
      <w:pPr>
        <w:pStyle w:val="Caption"/>
      </w:pPr>
      <w:r>
        <w:t>Table 4: Respondent</w:t>
      </w:r>
      <w:r w:rsidRPr="005E74D2">
        <w:t xml:space="preserve"> Demographics</w:t>
      </w:r>
    </w:p>
    <w:tbl>
      <w:tblPr>
        <w:tblStyle w:val="Table3Deffects3"/>
        <w:tblW w:w="8753" w:type="dxa"/>
        <w:tblBorders>
          <w:top w:val="single" w:sz="6" w:space="0" w:color="808080"/>
          <w:bottom w:val="single" w:sz="6" w:space="0" w:color="808080"/>
          <w:insideH w:val="dotted" w:sz="4" w:space="0" w:color="auto"/>
        </w:tblBorders>
        <w:tblLook w:val="04A0" w:firstRow="1" w:lastRow="0" w:firstColumn="1" w:lastColumn="0" w:noHBand="0" w:noVBand="1"/>
      </w:tblPr>
      <w:tblGrid>
        <w:gridCol w:w="4244"/>
        <w:gridCol w:w="1615"/>
        <w:gridCol w:w="1473"/>
        <w:gridCol w:w="1421"/>
      </w:tblGrid>
      <w:tr w:rsidR="00C32F0D" w:rsidRPr="00C32F0D" w:rsidTr="00056B7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bottom w:val="dotted" w:sz="4" w:space="0" w:color="auto"/>
              <w:right w:val="none" w:sz="0" w:space="0" w:color="auto"/>
            </w:tcBorders>
            <w:hideMark/>
          </w:tcPr>
          <w:p w:rsidR="00D41944" w:rsidRPr="00C32F0D" w:rsidRDefault="00D41944" w:rsidP="00056B71">
            <w:pPr>
              <w:pStyle w:val="Tabletext"/>
            </w:pPr>
          </w:p>
        </w:tc>
        <w:tc>
          <w:tcPr>
            <w:tcW w:w="1615" w:type="dxa"/>
            <w:tcBorders>
              <w:bottom w:val="dotted" w:sz="4" w:space="0" w:color="auto"/>
            </w:tcBorders>
            <w:hideMark/>
          </w:tcPr>
          <w:p w:rsidR="00D41944" w:rsidRPr="00C32F0D" w:rsidRDefault="00056B71" w:rsidP="00056B71">
            <w:pPr>
              <w:pStyle w:val="Tabletext"/>
              <w:cnfStyle w:val="100000000000" w:firstRow="1" w:lastRow="0" w:firstColumn="0" w:lastColumn="0" w:oddVBand="0" w:evenVBand="0" w:oddHBand="0" w:evenHBand="0" w:firstRowFirstColumn="0" w:firstRowLastColumn="0" w:lastRowFirstColumn="0" w:lastRowLastColumn="0"/>
            </w:pPr>
            <w:r>
              <w:t>2012–</w:t>
            </w:r>
            <w:r w:rsidR="00D41944" w:rsidRPr="00C32F0D">
              <w:t>13</w:t>
            </w:r>
          </w:p>
        </w:tc>
        <w:tc>
          <w:tcPr>
            <w:tcW w:w="1473" w:type="dxa"/>
            <w:tcBorders>
              <w:bottom w:val="dotted" w:sz="4" w:space="0" w:color="auto"/>
            </w:tcBorders>
            <w:hideMark/>
          </w:tcPr>
          <w:p w:rsidR="00D41944" w:rsidRPr="00C32F0D" w:rsidRDefault="00056B71" w:rsidP="00056B71">
            <w:pPr>
              <w:pStyle w:val="Tabletext"/>
              <w:cnfStyle w:val="100000000000" w:firstRow="1" w:lastRow="0" w:firstColumn="0" w:lastColumn="0" w:oddVBand="0" w:evenVBand="0" w:oddHBand="0" w:evenHBand="0" w:firstRowFirstColumn="0" w:firstRowLastColumn="0" w:lastRowFirstColumn="0" w:lastRowLastColumn="0"/>
            </w:pPr>
            <w:r>
              <w:t>2013–</w:t>
            </w:r>
            <w:r w:rsidR="00D41944" w:rsidRPr="00C32F0D">
              <w:t>14</w:t>
            </w:r>
          </w:p>
        </w:tc>
        <w:tc>
          <w:tcPr>
            <w:tcW w:w="1421" w:type="dxa"/>
            <w:tcBorders>
              <w:bottom w:val="dotted" w:sz="4" w:space="0" w:color="auto"/>
            </w:tcBorders>
            <w:hideMark/>
          </w:tcPr>
          <w:p w:rsidR="00D41944" w:rsidRPr="00C32F0D" w:rsidRDefault="00056B71" w:rsidP="00056B71">
            <w:pPr>
              <w:pStyle w:val="Tabletext"/>
              <w:cnfStyle w:val="100000000000" w:firstRow="1" w:lastRow="0" w:firstColumn="0" w:lastColumn="0" w:oddVBand="0" w:evenVBand="0" w:oddHBand="0" w:evenHBand="0" w:firstRowFirstColumn="0" w:firstRowLastColumn="0" w:lastRowFirstColumn="0" w:lastRowLastColumn="0"/>
            </w:pPr>
            <w:r>
              <w:t>2014–</w:t>
            </w:r>
            <w:r w:rsidR="00D41944" w:rsidRPr="00C32F0D">
              <w:t>15</w:t>
            </w:r>
          </w:p>
        </w:tc>
      </w:tr>
      <w:tr w:rsidR="00056B71"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3" w:type="dxa"/>
            <w:gridSpan w:val="4"/>
            <w:tcBorders>
              <w:top w:val="dotted" w:sz="4" w:space="0" w:color="auto"/>
              <w:bottom w:val="dotted" w:sz="4" w:space="0" w:color="auto"/>
              <w:right w:val="nil"/>
            </w:tcBorders>
          </w:tcPr>
          <w:p w:rsidR="00056B71" w:rsidRPr="00056B71" w:rsidRDefault="00056B71" w:rsidP="00056B71">
            <w:pPr>
              <w:pStyle w:val="Tabletext"/>
              <w:rPr>
                <w:b/>
              </w:rPr>
            </w:pPr>
            <w:r w:rsidRPr="00056B71">
              <w:rPr>
                <w:b/>
              </w:rPr>
              <w:t xml:space="preserve">Industry </w:t>
            </w:r>
            <w:r w:rsidRPr="00056B71">
              <w:rPr>
                <w:b/>
              </w:rPr>
              <w:t>sector</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dotted" w:sz="4" w:space="0" w:color="auto"/>
              <w:right w:val="none" w:sz="0" w:space="0" w:color="auto"/>
            </w:tcBorders>
            <w:hideMark/>
          </w:tcPr>
          <w:p w:rsidR="00D41944" w:rsidRPr="00C32F0D" w:rsidRDefault="00D41944" w:rsidP="00056B71">
            <w:pPr>
              <w:pStyle w:val="Tabletext"/>
            </w:pPr>
            <w:r w:rsidRPr="00C32F0D">
              <w:t>Agriculture, Forestry and Fishing</w:t>
            </w:r>
          </w:p>
        </w:tc>
        <w:tc>
          <w:tcPr>
            <w:tcW w:w="1615" w:type="dxa"/>
            <w:tcBorders>
              <w:top w:val="dotted" w:sz="4" w:space="0" w:color="auto"/>
            </w:tcBorders>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 </w:t>
            </w:r>
          </w:p>
        </w:tc>
        <w:tc>
          <w:tcPr>
            <w:tcW w:w="1473" w:type="dxa"/>
            <w:tcBorders>
              <w:top w:val="dotted" w:sz="4" w:space="0" w:color="auto"/>
            </w:tcBorders>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 </w:t>
            </w:r>
          </w:p>
        </w:tc>
        <w:tc>
          <w:tcPr>
            <w:tcW w:w="1421" w:type="dxa"/>
            <w:tcBorders>
              <w:top w:val="dotted" w:sz="4" w:space="0" w:color="auto"/>
            </w:tcBorders>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 </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Mining</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 </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Manufacturing</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1</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 </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 </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Electricity, Gas, Water and Waste Services</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 </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Construction</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 </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 </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 </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Wholesale Trade</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 </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 xml:space="preserve"> Retail Trade</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 </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 </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2</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Accommodation and Food Services</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 </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Transport, Postal and Warehousing</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 </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1</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1</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Information Media and Telecommunications</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 </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Fin</w:t>
            </w:r>
            <w:r w:rsidR="00C81BBE">
              <w:t>ancia</w:t>
            </w:r>
            <w:r w:rsidRPr="00C32F0D">
              <w:t>l and Insurance Services</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 </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1</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 </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Rental, Hiring and Real Estate Services</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 </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 xml:space="preserve">Professional, Scientific and Technical </w:t>
            </w:r>
            <w:r w:rsidRPr="00C32F0D">
              <w:lastRenderedPageBreak/>
              <w:t>Services</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lastRenderedPageBreak/>
              <w:t> </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3</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 </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lastRenderedPageBreak/>
              <w:t>Administrative and Support Services</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 </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Public Administration and Safety</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2</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 </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1</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Education and Training</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1</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Health Care and Social Assistance</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4</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1</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3</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Arts and Recreation Services</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 </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Private household</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 </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 </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 </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dotted" w:sz="4" w:space="0" w:color="auto"/>
              <w:right w:val="none" w:sz="0" w:space="0" w:color="auto"/>
            </w:tcBorders>
            <w:hideMark/>
          </w:tcPr>
          <w:p w:rsidR="00D41944" w:rsidRPr="00C32F0D" w:rsidRDefault="00D41944" w:rsidP="00056B71">
            <w:pPr>
              <w:pStyle w:val="Tabletext"/>
            </w:pPr>
            <w:r w:rsidRPr="00C32F0D">
              <w:t>Unknown</w:t>
            </w:r>
          </w:p>
        </w:tc>
        <w:tc>
          <w:tcPr>
            <w:tcW w:w="1615" w:type="dxa"/>
            <w:tcBorders>
              <w:top w:val="none" w:sz="0" w:space="0" w:color="auto"/>
              <w:bottom w:val="dotted" w:sz="4"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1</w:t>
            </w:r>
          </w:p>
        </w:tc>
        <w:tc>
          <w:tcPr>
            <w:tcW w:w="1473" w:type="dxa"/>
            <w:tcBorders>
              <w:top w:val="none" w:sz="0" w:space="0" w:color="auto"/>
              <w:bottom w:val="dotted" w:sz="4"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dotted" w:sz="4"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056B71" w:rsidRPr="00056B71" w:rsidTr="00056B71">
        <w:trPr>
          <w:trHeight w:val="283"/>
        </w:trPr>
        <w:tc>
          <w:tcPr>
            <w:cnfStyle w:val="001000000000" w:firstRow="0" w:lastRow="0" w:firstColumn="1" w:lastColumn="0" w:oddVBand="0" w:evenVBand="0" w:oddHBand="0" w:evenHBand="0" w:firstRowFirstColumn="0" w:firstRowLastColumn="0" w:lastRowFirstColumn="0" w:lastRowLastColumn="0"/>
            <w:tcW w:w="8753" w:type="dxa"/>
            <w:gridSpan w:val="4"/>
            <w:tcBorders>
              <w:top w:val="dotted" w:sz="4" w:space="0" w:color="auto"/>
              <w:bottom w:val="dotted" w:sz="4" w:space="0" w:color="auto"/>
              <w:right w:val="nil"/>
            </w:tcBorders>
            <w:hideMark/>
          </w:tcPr>
          <w:p w:rsidR="00056B71" w:rsidRPr="00056B71" w:rsidRDefault="00056B71" w:rsidP="00056B71">
            <w:pPr>
              <w:pStyle w:val="Tabletext"/>
              <w:tabs>
                <w:tab w:val="decimal" w:pos="723"/>
                <w:tab w:val="decimal" w:pos="816"/>
                <w:tab w:val="decimal" w:pos="886"/>
              </w:tabs>
              <w:rPr>
                <w:b/>
              </w:rPr>
            </w:pPr>
            <w:r w:rsidRPr="00056B71">
              <w:rPr>
                <w:b/>
              </w:rPr>
              <w:t>Size of organisation</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dotted" w:sz="4" w:space="0" w:color="auto"/>
              <w:bottom w:val="none" w:sz="0" w:space="0" w:color="auto"/>
              <w:right w:val="none" w:sz="0" w:space="0" w:color="auto"/>
            </w:tcBorders>
            <w:hideMark/>
          </w:tcPr>
          <w:p w:rsidR="00D41944" w:rsidRPr="00C32F0D" w:rsidRDefault="00D41944" w:rsidP="00056B71">
            <w:pPr>
              <w:pStyle w:val="Tabletext"/>
            </w:pPr>
            <w:r w:rsidRPr="00C32F0D">
              <w:t>1 to 19</w:t>
            </w:r>
          </w:p>
        </w:tc>
        <w:tc>
          <w:tcPr>
            <w:tcW w:w="1615" w:type="dxa"/>
            <w:tcBorders>
              <w:top w:val="dotted" w:sz="4"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1</w:t>
            </w:r>
          </w:p>
        </w:tc>
        <w:tc>
          <w:tcPr>
            <w:tcW w:w="1473" w:type="dxa"/>
            <w:tcBorders>
              <w:top w:val="dotted" w:sz="4"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1</w:t>
            </w:r>
          </w:p>
        </w:tc>
        <w:tc>
          <w:tcPr>
            <w:tcW w:w="1421" w:type="dxa"/>
            <w:tcBorders>
              <w:top w:val="dotted" w:sz="4"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2</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20 to 99</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2</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3</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1</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none" w:sz="0" w:space="0" w:color="auto"/>
              <w:right w:val="none" w:sz="0" w:space="0" w:color="auto"/>
            </w:tcBorders>
            <w:hideMark/>
          </w:tcPr>
          <w:p w:rsidR="00D41944" w:rsidRPr="00C32F0D" w:rsidRDefault="00D41944" w:rsidP="00056B71">
            <w:pPr>
              <w:pStyle w:val="Tabletext"/>
            </w:pPr>
            <w:r w:rsidRPr="00C32F0D">
              <w:t>100 to 499</w:t>
            </w:r>
          </w:p>
        </w:tc>
        <w:tc>
          <w:tcPr>
            <w:tcW w:w="1615" w:type="dxa"/>
            <w:tcBorders>
              <w:top w:val="none" w:sz="0"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2</w:t>
            </w:r>
          </w:p>
        </w:tc>
        <w:tc>
          <w:tcPr>
            <w:tcW w:w="1473" w:type="dxa"/>
            <w:tcBorders>
              <w:top w:val="none" w:sz="0"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2</w:t>
            </w:r>
          </w:p>
        </w:tc>
        <w:tc>
          <w:tcPr>
            <w:tcW w:w="1421" w:type="dxa"/>
            <w:tcBorders>
              <w:top w:val="none" w:sz="0"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3</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500 and over</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3</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 </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1</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none" w:sz="0" w:space="0" w:color="auto"/>
              <w:bottom w:val="dotted" w:sz="4" w:space="0" w:color="auto"/>
              <w:right w:val="none" w:sz="0" w:space="0" w:color="auto"/>
            </w:tcBorders>
            <w:hideMark/>
          </w:tcPr>
          <w:p w:rsidR="00D41944" w:rsidRPr="00C32F0D" w:rsidRDefault="00D41944" w:rsidP="00056B71">
            <w:pPr>
              <w:pStyle w:val="Tabletext"/>
            </w:pPr>
            <w:r w:rsidRPr="00C32F0D">
              <w:t>Unknown</w:t>
            </w:r>
          </w:p>
        </w:tc>
        <w:tc>
          <w:tcPr>
            <w:tcW w:w="1615" w:type="dxa"/>
            <w:tcBorders>
              <w:top w:val="none" w:sz="0" w:space="0" w:color="auto"/>
              <w:bottom w:val="dotted" w:sz="4"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1</w:t>
            </w:r>
          </w:p>
        </w:tc>
        <w:tc>
          <w:tcPr>
            <w:tcW w:w="1473" w:type="dxa"/>
            <w:tcBorders>
              <w:top w:val="none" w:sz="0" w:space="0" w:color="auto"/>
              <w:bottom w:val="dotted" w:sz="4"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 </w:t>
            </w:r>
          </w:p>
        </w:tc>
        <w:tc>
          <w:tcPr>
            <w:tcW w:w="1421" w:type="dxa"/>
            <w:tcBorders>
              <w:top w:val="none" w:sz="0" w:space="0" w:color="auto"/>
              <w:bottom w:val="dotted" w:sz="4"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 </w:t>
            </w:r>
          </w:p>
        </w:tc>
      </w:tr>
      <w:tr w:rsidR="00056B71" w:rsidRPr="00056B71" w:rsidTr="00056B71">
        <w:trPr>
          <w:trHeight w:val="283"/>
        </w:trPr>
        <w:tc>
          <w:tcPr>
            <w:cnfStyle w:val="001000000000" w:firstRow="0" w:lastRow="0" w:firstColumn="1" w:lastColumn="0" w:oddVBand="0" w:evenVBand="0" w:oddHBand="0" w:evenHBand="0" w:firstRowFirstColumn="0" w:firstRowLastColumn="0" w:lastRowFirstColumn="0" w:lastRowLastColumn="0"/>
            <w:tcW w:w="8753" w:type="dxa"/>
            <w:gridSpan w:val="4"/>
            <w:tcBorders>
              <w:top w:val="dotted" w:sz="4" w:space="0" w:color="auto"/>
              <w:bottom w:val="dotted" w:sz="4" w:space="0" w:color="auto"/>
              <w:right w:val="nil"/>
            </w:tcBorders>
            <w:hideMark/>
          </w:tcPr>
          <w:p w:rsidR="00056B71" w:rsidRPr="00056B71" w:rsidRDefault="00056B71" w:rsidP="00056B71">
            <w:pPr>
              <w:pStyle w:val="Tabletext"/>
              <w:tabs>
                <w:tab w:val="decimal" w:pos="723"/>
                <w:tab w:val="decimal" w:pos="816"/>
                <w:tab w:val="decimal" w:pos="886"/>
              </w:tabs>
              <w:rPr>
                <w:b/>
              </w:rPr>
            </w:pPr>
            <w:r w:rsidRPr="00056B71">
              <w:rPr>
                <w:b/>
              </w:rPr>
              <w:t>Type of organisation</w:t>
            </w:r>
          </w:p>
        </w:tc>
      </w:tr>
      <w:tr w:rsidR="00C32F0D" w:rsidRPr="00C32F0D" w:rsidTr="00056B7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4" w:type="dxa"/>
            <w:tcBorders>
              <w:top w:val="dotted" w:sz="4" w:space="0" w:color="auto"/>
              <w:bottom w:val="none" w:sz="0" w:space="0" w:color="auto"/>
              <w:right w:val="none" w:sz="0" w:space="0" w:color="auto"/>
            </w:tcBorders>
            <w:hideMark/>
          </w:tcPr>
          <w:p w:rsidR="00D41944" w:rsidRPr="00C32F0D" w:rsidRDefault="00D41944" w:rsidP="00056B71">
            <w:pPr>
              <w:pStyle w:val="Tabletext"/>
            </w:pPr>
            <w:r w:rsidRPr="00C32F0D">
              <w:t>Employer</w:t>
            </w:r>
          </w:p>
        </w:tc>
        <w:tc>
          <w:tcPr>
            <w:tcW w:w="1615" w:type="dxa"/>
            <w:tcBorders>
              <w:top w:val="dotted" w:sz="4" w:space="0" w:color="auto"/>
              <w:bottom w:val="none" w:sz="0" w:space="0" w:color="auto"/>
            </w:tcBorders>
            <w:noWrap/>
            <w:hideMark/>
          </w:tcPr>
          <w:p w:rsidR="00D41944" w:rsidRPr="00C32F0D" w:rsidRDefault="00D41944" w:rsidP="00056B71">
            <w:pPr>
              <w:pStyle w:val="Tabletext"/>
              <w:tabs>
                <w:tab w:val="decimal" w:pos="886"/>
              </w:tabs>
              <w:cnfStyle w:val="000000100000" w:firstRow="0" w:lastRow="0" w:firstColumn="0" w:lastColumn="0" w:oddVBand="0" w:evenVBand="0" w:oddHBand="1" w:evenHBand="0" w:firstRowFirstColumn="0" w:firstRowLastColumn="0" w:lastRowFirstColumn="0" w:lastRowLastColumn="0"/>
            </w:pPr>
            <w:r w:rsidRPr="00C32F0D">
              <w:t>8</w:t>
            </w:r>
          </w:p>
        </w:tc>
        <w:tc>
          <w:tcPr>
            <w:tcW w:w="1473" w:type="dxa"/>
            <w:tcBorders>
              <w:top w:val="dotted" w:sz="4" w:space="0" w:color="auto"/>
              <w:bottom w:val="none" w:sz="0" w:space="0" w:color="auto"/>
            </w:tcBorders>
            <w:noWrap/>
            <w:hideMark/>
          </w:tcPr>
          <w:p w:rsidR="00D41944" w:rsidRPr="00C32F0D" w:rsidRDefault="00D41944" w:rsidP="00056B71">
            <w:pPr>
              <w:pStyle w:val="Tabletext"/>
              <w:tabs>
                <w:tab w:val="decimal" w:pos="816"/>
              </w:tabs>
              <w:cnfStyle w:val="000000100000" w:firstRow="0" w:lastRow="0" w:firstColumn="0" w:lastColumn="0" w:oddVBand="0" w:evenVBand="0" w:oddHBand="1" w:evenHBand="0" w:firstRowFirstColumn="0" w:firstRowLastColumn="0" w:lastRowFirstColumn="0" w:lastRowLastColumn="0"/>
            </w:pPr>
            <w:r w:rsidRPr="00C32F0D">
              <w:t>6</w:t>
            </w:r>
          </w:p>
        </w:tc>
        <w:tc>
          <w:tcPr>
            <w:tcW w:w="1421" w:type="dxa"/>
            <w:tcBorders>
              <w:top w:val="dotted" w:sz="4" w:space="0" w:color="auto"/>
              <w:bottom w:val="none" w:sz="0" w:space="0" w:color="auto"/>
            </w:tcBorders>
            <w:noWrap/>
            <w:hideMark/>
          </w:tcPr>
          <w:p w:rsidR="00D41944" w:rsidRPr="00C32F0D" w:rsidRDefault="00D41944" w:rsidP="00056B71">
            <w:pPr>
              <w:pStyle w:val="Tabletext"/>
              <w:tabs>
                <w:tab w:val="decimal" w:pos="723"/>
              </w:tabs>
              <w:cnfStyle w:val="000000100000" w:firstRow="0" w:lastRow="0" w:firstColumn="0" w:lastColumn="0" w:oddVBand="0" w:evenVBand="0" w:oddHBand="1" w:evenHBand="0" w:firstRowFirstColumn="0" w:firstRowLastColumn="0" w:lastRowFirstColumn="0" w:lastRowLastColumn="0"/>
            </w:pPr>
            <w:r w:rsidRPr="00C32F0D">
              <w:t>7</w:t>
            </w:r>
          </w:p>
        </w:tc>
      </w:tr>
      <w:tr w:rsidR="00C32F0D" w:rsidRPr="00C32F0D" w:rsidTr="00056B71">
        <w:trPr>
          <w:trHeight w:val="283"/>
        </w:trPr>
        <w:tc>
          <w:tcPr>
            <w:cnfStyle w:val="001000000000" w:firstRow="0" w:lastRow="0" w:firstColumn="1" w:lastColumn="0" w:oddVBand="0" w:evenVBand="0" w:oddHBand="0" w:evenHBand="0" w:firstRowFirstColumn="0" w:firstRowLastColumn="0" w:lastRowFirstColumn="0" w:lastRowLastColumn="0"/>
            <w:tcW w:w="4244" w:type="dxa"/>
            <w:tcBorders>
              <w:right w:val="none" w:sz="0" w:space="0" w:color="auto"/>
            </w:tcBorders>
            <w:hideMark/>
          </w:tcPr>
          <w:p w:rsidR="00D41944" w:rsidRPr="00C32F0D" w:rsidRDefault="00D41944" w:rsidP="00056B71">
            <w:pPr>
              <w:pStyle w:val="Tabletext"/>
            </w:pPr>
            <w:r w:rsidRPr="00C32F0D">
              <w:t>Recruitment company /service</w:t>
            </w:r>
          </w:p>
        </w:tc>
        <w:tc>
          <w:tcPr>
            <w:tcW w:w="1615" w:type="dxa"/>
            <w:noWrap/>
            <w:hideMark/>
          </w:tcPr>
          <w:p w:rsidR="00D41944" w:rsidRPr="00C32F0D" w:rsidRDefault="00D41944" w:rsidP="00056B71">
            <w:pPr>
              <w:pStyle w:val="Tabletext"/>
              <w:tabs>
                <w:tab w:val="decimal" w:pos="886"/>
              </w:tabs>
              <w:cnfStyle w:val="000000000000" w:firstRow="0" w:lastRow="0" w:firstColumn="0" w:lastColumn="0" w:oddVBand="0" w:evenVBand="0" w:oddHBand="0" w:evenHBand="0" w:firstRowFirstColumn="0" w:firstRowLastColumn="0" w:lastRowFirstColumn="0" w:lastRowLastColumn="0"/>
            </w:pPr>
            <w:r w:rsidRPr="00C32F0D">
              <w:t> </w:t>
            </w:r>
          </w:p>
        </w:tc>
        <w:tc>
          <w:tcPr>
            <w:tcW w:w="1473" w:type="dxa"/>
            <w:noWrap/>
            <w:hideMark/>
          </w:tcPr>
          <w:p w:rsidR="00D41944" w:rsidRPr="00C32F0D" w:rsidRDefault="00D41944" w:rsidP="00056B71">
            <w:pPr>
              <w:pStyle w:val="Tabletext"/>
              <w:tabs>
                <w:tab w:val="decimal" w:pos="816"/>
              </w:tabs>
              <w:cnfStyle w:val="000000000000" w:firstRow="0" w:lastRow="0" w:firstColumn="0" w:lastColumn="0" w:oddVBand="0" w:evenVBand="0" w:oddHBand="0" w:evenHBand="0" w:firstRowFirstColumn="0" w:firstRowLastColumn="0" w:lastRowFirstColumn="0" w:lastRowLastColumn="0"/>
            </w:pPr>
            <w:r w:rsidRPr="00C32F0D">
              <w:t> </w:t>
            </w:r>
          </w:p>
        </w:tc>
        <w:tc>
          <w:tcPr>
            <w:tcW w:w="1421" w:type="dxa"/>
            <w:noWrap/>
            <w:hideMark/>
          </w:tcPr>
          <w:p w:rsidR="00D41944" w:rsidRPr="00C32F0D" w:rsidRDefault="00D41944" w:rsidP="00056B71">
            <w:pPr>
              <w:pStyle w:val="Tabletext"/>
              <w:tabs>
                <w:tab w:val="decimal" w:pos="723"/>
              </w:tabs>
              <w:cnfStyle w:val="000000000000" w:firstRow="0" w:lastRow="0" w:firstColumn="0" w:lastColumn="0" w:oddVBand="0" w:evenVBand="0" w:oddHBand="0" w:evenHBand="0" w:firstRowFirstColumn="0" w:firstRowLastColumn="0" w:lastRowFirstColumn="0" w:lastRowLastColumn="0"/>
            </w:pPr>
            <w:r w:rsidRPr="00C32F0D">
              <w:t> </w:t>
            </w:r>
          </w:p>
        </w:tc>
      </w:tr>
    </w:tbl>
    <w:p w:rsidR="004D0140" w:rsidRDefault="004D0140" w:rsidP="00104930"/>
    <w:p w:rsidR="004D0140" w:rsidRDefault="00C81BBE" w:rsidP="00104930">
      <w:r>
        <w:t xml:space="preserve">Significantly, it is also apparent many age-related employment complaints relate to issues that have arisen in medium to large organisations. </w:t>
      </w:r>
    </w:p>
    <w:p w:rsidR="00104930" w:rsidRDefault="00E444AD" w:rsidP="00104930">
      <w:r>
        <w:t xml:space="preserve">This is particularly disappointing as it would be expected larger organisations </w:t>
      </w:r>
      <w:r w:rsidR="00056B71">
        <w:t xml:space="preserve">would </w:t>
      </w:r>
      <w:r>
        <w:t>have more mature HR policies and procedu</w:t>
      </w:r>
      <w:r w:rsidR="00056B71">
        <w:t>res</w:t>
      </w:r>
      <w:proofErr w:type="gramStart"/>
      <w:r w:rsidR="00056B71">
        <w:t xml:space="preserve">. </w:t>
      </w:r>
      <w:proofErr w:type="gramEnd"/>
      <w:r w:rsidR="00056B71">
        <w:t>Whether this is the case or</w:t>
      </w:r>
      <w:r>
        <w:t xml:space="preserve"> not, it is apparent there is a need for improved education and training to prevent age discrimination</w:t>
      </w:r>
      <w:r w:rsidR="00634198">
        <w:t xml:space="preserve"> across all industry sectors</w:t>
      </w:r>
      <w:r>
        <w:t>.</w:t>
      </w:r>
    </w:p>
    <w:p w:rsidR="00104930" w:rsidRDefault="00104930" w:rsidP="00083B26">
      <w:pPr>
        <w:pStyle w:val="Heading1"/>
      </w:pPr>
      <w:bookmarkStart w:id="21" w:name="_Toc441923568"/>
      <w:r>
        <w:lastRenderedPageBreak/>
        <w:t>International best practice</w:t>
      </w:r>
      <w:bookmarkEnd w:id="21"/>
    </w:p>
    <w:p w:rsidR="00104930" w:rsidRDefault="00104930" w:rsidP="008E32DC">
      <w:pPr>
        <w:pStyle w:val="EOT-Contentssectionhead"/>
      </w:pPr>
      <w:r>
        <w:t>4.</w:t>
      </w:r>
      <w:r>
        <w:tab/>
        <w:t>What lessons and leading practices can we learn from other countries to address employment discrimination and increase workforce participation of older Australians?</w:t>
      </w:r>
    </w:p>
    <w:p w:rsidR="007A7489" w:rsidRDefault="007A7489" w:rsidP="006B5926">
      <w:pPr>
        <w:pStyle w:val="Heading2"/>
      </w:pPr>
      <w:bookmarkStart w:id="22" w:name="_Toc441923569"/>
      <w:r>
        <w:t>Positive ageing: the European experience</w:t>
      </w:r>
      <w:bookmarkEnd w:id="22"/>
    </w:p>
    <w:p w:rsidR="00104930" w:rsidRDefault="002D158D" w:rsidP="00104930">
      <w:r>
        <w:t xml:space="preserve">Prolonging workforce participation is a </w:t>
      </w:r>
      <w:r w:rsidR="006C4C45">
        <w:t>central</w:t>
      </w:r>
      <w:r>
        <w:t xml:space="preserve"> policy objective in many developed countries. </w:t>
      </w:r>
    </w:p>
    <w:p w:rsidR="00047F28" w:rsidRDefault="00232184" w:rsidP="00104930">
      <w:r>
        <w:t xml:space="preserve">A strong theme emerging in </w:t>
      </w:r>
      <w:r w:rsidR="00621208">
        <w:t xml:space="preserve">the </w:t>
      </w:r>
      <w:r>
        <w:t>Europe</w:t>
      </w:r>
      <w:r w:rsidR="00621208">
        <w:t>an Union</w:t>
      </w:r>
      <w:r>
        <w:t xml:space="preserve"> is the concept of ‘sustainable employability’</w:t>
      </w:r>
      <w:r w:rsidR="00047F28">
        <w:t xml:space="preserve">. </w:t>
      </w:r>
    </w:p>
    <w:p w:rsidR="00A42F79" w:rsidRDefault="00C0568B" w:rsidP="00104930">
      <w:r>
        <w:t>Many</w:t>
      </w:r>
      <w:r w:rsidR="00A42F79">
        <w:t xml:space="preserve"> European countries</w:t>
      </w:r>
      <w:r>
        <w:t>, for example,</w:t>
      </w:r>
      <w:r w:rsidR="00A42F79">
        <w:t xml:space="preserve"> offer financial incentives to workers who are reaching retirement age to remain in the workforce</w:t>
      </w:r>
      <w:proofErr w:type="gramStart"/>
      <w:r w:rsidR="00A42F79">
        <w:t xml:space="preserve">. </w:t>
      </w:r>
      <w:proofErr w:type="gramEnd"/>
      <w:r w:rsidR="00A42F79">
        <w:t>In the UK, for example, if a worker remains employed passed the age at which they are eligible for a pension they are rewarded with an enhanced pension later on or with a lump sum payment.</w:t>
      </w:r>
      <w:r>
        <w:t xml:space="preserve"> Similarly</w:t>
      </w:r>
      <w:r w:rsidR="0098381A">
        <w:t>,</w:t>
      </w:r>
      <w:r>
        <w:t xml:space="preserve"> workers in Denmark who continued working beyond the age at which they are eligible for an early retirement pension are rewarded with tax concessions.</w:t>
      </w:r>
      <w:r w:rsidR="007A7489">
        <w:rPr>
          <w:rStyle w:val="FootnoteReference"/>
        </w:rPr>
        <w:footnoteReference w:id="30"/>
      </w:r>
    </w:p>
    <w:p w:rsidR="007A7489" w:rsidRDefault="007A7489" w:rsidP="00104930">
      <w:r>
        <w:t xml:space="preserve">Central to the objective of increasing the employment of older workers is the introduction </w:t>
      </w:r>
      <w:r w:rsidR="00621208">
        <w:t xml:space="preserve">within EU countries </w:t>
      </w:r>
      <w:r>
        <w:t>of active ageing policies to secure increased and sustained involvement in the workforce of older workers</w:t>
      </w:r>
      <w:proofErr w:type="gramStart"/>
      <w:r>
        <w:t xml:space="preserve">. </w:t>
      </w:r>
      <w:proofErr w:type="gramEnd"/>
      <w:r>
        <w:t>Key components include:</w:t>
      </w:r>
      <w:r>
        <w:rPr>
          <w:rStyle w:val="FootnoteReference"/>
        </w:rPr>
        <w:footnoteReference w:id="31"/>
      </w:r>
    </w:p>
    <w:p w:rsidR="007A7489" w:rsidRDefault="0098381A" w:rsidP="007A7489">
      <w:pPr>
        <w:pStyle w:val="ListParagraph"/>
        <w:numPr>
          <w:ilvl w:val="0"/>
          <w:numId w:val="26"/>
        </w:numPr>
      </w:pPr>
      <w:r>
        <w:t>a</w:t>
      </w:r>
      <w:r w:rsidR="007A7489">
        <w:t xml:space="preserve"> focus on health</w:t>
      </w:r>
      <w:r w:rsidR="005065F9">
        <w:t>y</w:t>
      </w:r>
      <w:r w:rsidR="007A7489">
        <w:t>, secure working conditions;</w:t>
      </w:r>
    </w:p>
    <w:p w:rsidR="007A7489" w:rsidRDefault="0098381A" w:rsidP="007A7489">
      <w:pPr>
        <w:pStyle w:val="ListParagraph"/>
        <w:numPr>
          <w:ilvl w:val="0"/>
          <w:numId w:val="26"/>
        </w:numPr>
      </w:pPr>
      <w:r>
        <w:t>f</w:t>
      </w:r>
      <w:r w:rsidR="007A7489">
        <w:t>lexibility within companies to enable older workers to continue working while at the same time putting in place support for employers in their efforts to do so;</w:t>
      </w:r>
    </w:p>
    <w:p w:rsidR="007A7489" w:rsidRDefault="0098381A" w:rsidP="007A7489">
      <w:pPr>
        <w:pStyle w:val="ListParagraph"/>
        <w:numPr>
          <w:ilvl w:val="0"/>
          <w:numId w:val="26"/>
        </w:numPr>
      </w:pPr>
      <w:r>
        <w:t>i</w:t>
      </w:r>
      <w:r w:rsidR="007A7489">
        <w:t>mproving responsiveness of public employment services to the demands of older workers; and</w:t>
      </w:r>
    </w:p>
    <w:p w:rsidR="007A7489" w:rsidRDefault="0098381A" w:rsidP="007A7489">
      <w:pPr>
        <w:pStyle w:val="ListParagraph"/>
        <w:numPr>
          <w:ilvl w:val="0"/>
          <w:numId w:val="26"/>
        </w:numPr>
      </w:pPr>
      <w:proofErr w:type="gramStart"/>
      <w:r>
        <w:t>i</w:t>
      </w:r>
      <w:r w:rsidR="007A7489">
        <w:t>dentifying</w:t>
      </w:r>
      <w:proofErr w:type="gramEnd"/>
      <w:r w:rsidR="007A7489">
        <w:t xml:space="preserve"> ways to improve workers’ employability via lifelong learning and career development initiatives and improving attitudes towards older people in general. </w:t>
      </w:r>
    </w:p>
    <w:p w:rsidR="0078666C" w:rsidRDefault="00621208" w:rsidP="00104930">
      <w:r>
        <w:t xml:space="preserve">The </w:t>
      </w:r>
      <w:r w:rsidR="0098381A">
        <w:t>G</w:t>
      </w:r>
      <w:r>
        <w:t xml:space="preserve">overnment </w:t>
      </w:r>
      <w:r w:rsidR="0098381A">
        <w:t>of the Netherlands is</w:t>
      </w:r>
      <w:r>
        <w:t xml:space="preserve"> particularly advanced in adopting the concept of sustainable employability and giving effect to programs aimed at prolonging the working lives of older employees</w:t>
      </w:r>
      <w:r w:rsidR="006C4C45">
        <w:t>.</w:t>
      </w:r>
      <w:r>
        <w:rPr>
          <w:rStyle w:val="FootnoteReference"/>
        </w:rPr>
        <w:footnoteReference w:id="32"/>
      </w:r>
      <w:proofErr w:type="gramStart"/>
      <w:r>
        <w:t xml:space="preserve"> </w:t>
      </w:r>
      <w:r w:rsidR="0098381A">
        <w:t>Its</w:t>
      </w:r>
      <w:proofErr w:type="gramEnd"/>
      <w:r w:rsidR="0078666C">
        <w:t xml:space="preserve"> Ministry of Social Affairs and Employment</w:t>
      </w:r>
      <w:r>
        <w:t xml:space="preserve">, for example, </w:t>
      </w:r>
      <w:r w:rsidR="0098381A">
        <w:t>has</w:t>
      </w:r>
      <w:r w:rsidR="0078666C">
        <w:t xml:space="preserve"> brought together 100 employers from different industries </w:t>
      </w:r>
      <w:r>
        <w:t xml:space="preserve">to agree a Social Manifesto aimed at concluding </w:t>
      </w:r>
      <w:r>
        <w:lastRenderedPageBreak/>
        <w:t>collective agreements that take account of the capabilities of workers, mechanisms for keeping their knowledge and skills up to date and supporting their ongoing participation in the workforce.</w:t>
      </w:r>
      <w:r>
        <w:rPr>
          <w:rStyle w:val="FootnoteReference"/>
        </w:rPr>
        <w:footnoteReference w:id="33"/>
      </w:r>
    </w:p>
    <w:p w:rsidR="007A7489" w:rsidRDefault="00325DFD" w:rsidP="00104930">
      <w:r>
        <w:t>Spain has also introduced an active ageing strategy targeted at retaining older people within the workforce.</w:t>
      </w:r>
      <w:r>
        <w:rPr>
          <w:rStyle w:val="FootnoteReference"/>
        </w:rPr>
        <w:footnoteReference w:id="34"/>
      </w:r>
      <w:proofErr w:type="gramStart"/>
      <w:r>
        <w:t xml:space="preserve"> </w:t>
      </w:r>
      <w:proofErr w:type="gramEnd"/>
      <w:r>
        <w:t>Actions include:</w:t>
      </w:r>
    </w:p>
    <w:p w:rsidR="00325DFD" w:rsidRDefault="0098381A" w:rsidP="00325DFD">
      <w:pPr>
        <w:pStyle w:val="ListParagraph"/>
        <w:numPr>
          <w:ilvl w:val="0"/>
          <w:numId w:val="27"/>
        </w:numPr>
      </w:pPr>
      <w:r>
        <w:t>p</w:t>
      </w:r>
      <w:r w:rsidR="00325DFD">
        <w:t>romoting healthy and secure working conditions</w:t>
      </w:r>
      <w:r>
        <w:t>;</w:t>
      </w:r>
    </w:p>
    <w:p w:rsidR="00325DFD" w:rsidRDefault="0098381A" w:rsidP="00325DFD">
      <w:pPr>
        <w:pStyle w:val="ListParagraph"/>
        <w:numPr>
          <w:ilvl w:val="0"/>
          <w:numId w:val="27"/>
        </w:numPr>
      </w:pPr>
      <w:r>
        <w:t>e</w:t>
      </w:r>
      <w:r w:rsidR="00325DFD">
        <w:t>nhancing flexibility within companies (including making available reduced working hours)</w:t>
      </w:r>
      <w:r>
        <w:t>;</w:t>
      </w:r>
    </w:p>
    <w:p w:rsidR="00325DFD" w:rsidRDefault="0098381A" w:rsidP="00325DFD">
      <w:pPr>
        <w:pStyle w:val="ListParagraph"/>
        <w:numPr>
          <w:ilvl w:val="0"/>
          <w:numId w:val="27"/>
        </w:numPr>
      </w:pPr>
      <w:r>
        <w:t>c</w:t>
      </w:r>
      <w:r w:rsidR="00325DFD">
        <w:t>reating better links between public employment, social service and training ser</w:t>
      </w:r>
      <w:r>
        <w:t>vic</w:t>
      </w:r>
      <w:r w:rsidR="00325DFD">
        <w:t>es</w:t>
      </w:r>
      <w:r>
        <w:t>;</w:t>
      </w:r>
    </w:p>
    <w:p w:rsidR="00325DFD" w:rsidRDefault="0098381A" w:rsidP="00325DFD">
      <w:pPr>
        <w:pStyle w:val="ListParagraph"/>
        <w:numPr>
          <w:ilvl w:val="0"/>
          <w:numId w:val="27"/>
        </w:numPr>
      </w:pPr>
      <w:r>
        <w:t>f</w:t>
      </w:r>
      <w:r w:rsidR="00325DFD">
        <w:t xml:space="preserve">ostering the transfer </w:t>
      </w:r>
      <w:r>
        <w:t>of experience on self-employment;</w:t>
      </w:r>
    </w:p>
    <w:p w:rsidR="00325DFD" w:rsidRDefault="0098381A" w:rsidP="00325DFD">
      <w:pPr>
        <w:pStyle w:val="ListParagraph"/>
        <w:numPr>
          <w:ilvl w:val="0"/>
          <w:numId w:val="27"/>
        </w:numPr>
      </w:pPr>
      <w:proofErr w:type="gramStart"/>
      <w:r>
        <w:t>c</w:t>
      </w:r>
      <w:r w:rsidR="00325DFD">
        <w:t>ombatting</w:t>
      </w:r>
      <w:proofErr w:type="gramEnd"/>
      <w:r w:rsidR="00325DFD">
        <w:t xml:space="preserve"> age discrimination within the workforce</w:t>
      </w:r>
      <w:r>
        <w:t>.</w:t>
      </w:r>
    </w:p>
    <w:p w:rsidR="00325DFD" w:rsidRDefault="00325DFD" w:rsidP="00325DFD">
      <w:r>
        <w:t>Norway has introduced legislative provisions to require adaptation of the workplace for those who need it and provided payroll tax exemptions as an incentive for companies to adopt key measures.</w:t>
      </w:r>
      <w:r>
        <w:rPr>
          <w:rStyle w:val="FootnoteReference"/>
        </w:rPr>
        <w:footnoteReference w:id="35"/>
      </w:r>
    </w:p>
    <w:p w:rsidR="007A7489" w:rsidRDefault="007A7489" w:rsidP="006B5926">
      <w:pPr>
        <w:pStyle w:val="Heading2"/>
      </w:pPr>
      <w:bookmarkStart w:id="23" w:name="_Toc441923570"/>
      <w:r>
        <w:t>Applying the lessons to Australia</w:t>
      </w:r>
      <w:bookmarkEnd w:id="23"/>
    </w:p>
    <w:p w:rsidR="007A7489" w:rsidRDefault="007A7489" w:rsidP="007A7489">
      <w:r>
        <w:t xml:space="preserve">Improving the sustainability of employment for older Australians will require improved policies that allow, for example, gradual transition to retirement, including the ability to work reduced hours and part time and get compensation from the pension system. </w:t>
      </w:r>
    </w:p>
    <w:p w:rsidR="007A7489" w:rsidRDefault="005065F9" w:rsidP="007A7489">
      <w:r>
        <w:t xml:space="preserve">Policy changes </w:t>
      </w:r>
      <w:r w:rsidR="0023304D">
        <w:t>that</w:t>
      </w:r>
      <w:r>
        <w:t xml:space="preserve"> allow older Australians </w:t>
      </w:r>
      <w:r w:rsidR="007A7489">
        <w:t xml:space="preserve">to </w:t>
      </w:r>
      <w:r>
        <w:t>receive</w:t>
      </w:r>
      <w:r w:rsidR="007A7489">
        <w:t xml:space="preserve"> income from employment and still receive an age pension </w:t>
      </w:r>
      <w:r w:rsidR="00634198">
        <w:t>as an</w:t>
      </w:r>
      <w:r w:rsidR="007A7489">
        <w:t xml:space="preserve"> incentive for older persons to remain in the workforce</w:t>
      </w:r>
      <w:r>
        <w:t xml:space="preserve"> are a move in the right direction</w:t>
      </w:r>
      <w:proofErr w:type="gramStart"/>
      <w:r>
        <w:t xml:space="preserve">. </w:t>
      </w:r>
      <w:proofErr w:type="gramEnd"/>
      <w:r>
        <w:t>However</w:t>
      </w:r>
      <w:r w:rsidR="007A7489">
        <w:t>, access to superannuation generally</w:t>
      </w:r>
      <w:r w:rsidR="00A265A8">
        <w:t xml:space="preserve"> requires </w:t>
      </w:r>
      <w:r w:rsidR="0023304D">
        <w:t xml:space="preserve">that </w:t>
      </w:r>
      <w:r w:rsidR="00A265A8">
        <w:t xml:space="preserve">the </w:t>
      </w:r>
      <w:r>
        <w:t>recipient</w:t>
      </w:r>
      <w:r w:rsidR="00A265A8">
        <w:t xml:space="preserve"> cease</w:t>
      </w:r>
      <w:r w:rsidR="007A7489">
        <w:t xml:space="preserve"> employment and not intend to become employed in the future on either a full</w:t>
      </w:r>
      <w:r w:rsidR="0023304D">
        <w:t>- or part-</w:t>
      </w:r>
      <w:r w:rsidR="007A7489">
        <w:t>time basis</w:t>
      </w:r>
      <w:proofErr w:type="gramStart"/>
      <w:r w:rsidR="007A7489">
        <w:t xml:space="preserve">. </w:t>
      </w:r>
      <w:proofErr w:type="gramEnd"/>
      <w:r w:rsidR="007A7489">
        <w:t xml:space="preserve">Reducing the number of hours with the same employer, rather than ceasing employment, is not generally considered retiring. </w:t>
      </w:r>
      <w:r w:rsidR="00634198">
        <w:t>This requirement acts to encourage those who reach preservation age to permanently retire fr</w:t>
      </w:r>
      <w:r w:rsidR="0023304D">
        <w:t>o</w:t>
      </w:r>
      <w:r w:rsidR="00634198">
        <w:t>m the workforce, often at an age well below that of other retirees.</w:t>
      </w:r>
    </w:p>
    <w:p w:rsidR="00104930" w:rsidRDefault="00A265A8" w:rsidP="00104930">
      <w:r>
        <w:t xml:space="preserve">Whilst public policy is evolving, in general Australia retains relatively rigid divides between various life stages (work/retirement) and </w:t>
      </w:r>
      <w:r w:rsidR="00162ED5">
        <w:t>between work and other</w:t>
      </w:r>
      <w:r>
        <w:t xml:space="preserve"> responsibilities (work/family)</w:t>
      </w:r>
      <w:proofErr w:type="gramStart"/>
      <w:r>
        <w:t xml:space="preserve">. </w:t>
      </w:r>
      <w:proofErr w:type="gramEnd"/>
      <w:r>
        <w:t xml:space="preserve">Concepts such as sustainable employability take a more holistic perspective and see the need to promote a balance between work and non-work responsibilities, therefore promoting a more sustainable approach to employment. </w:t>
      </w:r>
    </w:p>
    <w:p w:rsidR="00104930" w:rsidRDefault="00104930" w:rsidP="00083B26">
      <w:pPr>
        <w:pStyle w:val="Heading1"/>
      </w:pPr>
      <w:bookmarkStart w:id="24" w:name="_Toc441923571"/>
      <w:r>
        <w:lastRenderedPageBreak/>
        <w:t>Legal and Policy Framework</w:t>
      </w:r>
      <w:bookmarkEnd w:id="24"/>
    </w:p>
    <w:p w:rsidR="00104930" w:rsidRDefault="00104930" w:rsidP="008E32DC">
      <w:pPr>
        <w:pStyle w:val="EOT-Contentssectionhead"/>
      </w:pPr>
      <w:r>
        <w:t>5.</w:t>
      </w:r>
      <w:r>
        <w:tab/>
        <w:t>How adequately do existing laws protect older Australians from employment discrimination? How effective are the legal remedies for older workers who have experienced discrimination? How could existing laws be amended or supplemented?</w:t>
      </w:r>
    </w:p>
    <w:p w:rsidR="00AC5DD5" w:rsidRDefault="00104930" w:rsidP="008E32DC">
      <w:pPr>
        <w:pStyle w:val="EOT-Contentssectionhead"/>
      </w:pPr>
      <w:r>
        <w:t>6.</w:t>
      </w:r>
      <w:r>
        <w:tab/>
      </w:r>
      <w:r w:rsidR="00986155">
        <w:t>What difficulties are there for employers in understanding and complying with legal obligations?</w:t>
      </w:r>
    </w:p>
    <w:p w:rsidR="00FC3AB3" w:rsidRDefault="00FC3AB3" w:rsidP="006B5926">
      <w:pPr>
        <w:pStyle w:val="Heading2"/>
      </w:pPr>
      <w:bookmarkStart w:id="25" w:name="_Toc441923572"/>
      <w:r>
        <w:t>Age discrimination</w:t>
      </w:r>
      <w:bookmarkEnd w:id="25"/>
    </w:p>
    <w:p w:rsidR="00FC3AB3" w:rsidRDefault="00AE14AE" w:rsidP="00AE14AE">
      <w:r>
        <w:t xml:space="preserve">Both direct and indirect discrimination </w:t>
      </w:r>
      <w:proofErr w:type="gramStart"/>
      <w:r>
        <w:t>on the basis of</w:t>
      </w:r>
      <w:proofErr w:type="gramEnd"/>
      <w:r>
        <w:t xml:space="preserve"> age in relation to employment are unlawful under the Tasmanian </w:t>
      </w:r>
      <w:r w:rsidRPr="006B64F4">
        <w:rPr>
          <w:i/>
        </w:rPr>
        <w:t xml:space="preserve">Anti-Discrimination Act 1998 </w:t>
      </w:r>
      <w:r>
        <w:t>(Tas)</w:t>
      </w:r>
      <w:r w:rsidR="006B64F4">
        <w:t xml:space="preserve"> (the ADA)</w:t>
      </w:r>
      <w:r>
        <w:t>.</w:t>
      </w:r>
    </w:p>
    <w:p w:rsidR="006B64F4" w:rsidRDefault="006B64F4" w:rsidP="00AE14AE">
      <w:r>
        <w:t xml:space="preserve">Section 14(2) of the ADA provides that direct discrimination takes place if a person (including a corporation or organisation): </w:t>
      </w:r>
    </w:p>
    <w:p w:rsidR="006B64F4" w:rsidRPr="006B64F4" w:rsidRDefault="006B64F4" w:rsidP="006B5926">
      <w:pPr>
        <w:pStyle w:val="Quote"/>
      </w:pPr>
      <w:r w:rsidRPr="006B64F4">
        <w:t xml:space="preserve">…treats another person </w:t>
      </w:r>
      <w:proofErr w:type="gramStart"/>
      <w:r w:rsidRPr="006B64F4">
        <w:t>on the basis of</w:t>
      </w:r>
      <w:proofErr w:type="gramEnd"/>
      <w:r w:rsidRPr="006B64F4">
        <w:t xml:space="preserve"> any prescribed attribute, imputed prescribed attribute or a characteristic imputed to that attribute less favourably than a person without that attribute or characteristic.</w:t>
      </w:r>
    </w:p>
    <w:p w:rsidR="006B64F4" w:rsidRDefault="006B64F4" w:rsidP="00AE14AE">
      <w:r>
        <w:t>Section 15(1) provides that indirect discrimination takes place if</w:t>
      </w:r>
    </w:p>
    <w:p w:rsidR="006B64F4" w:rsidRDefault="006B64F4" w:rsidP="00083B26">
      <w:pPr>
        <w:pStyle w:val="Quote"/>
      </w:pPr>
      <w:r w:rsidRPr="00537BF8">
        <w:rPr>
          <w:rStyle w:val="Quote-subsectionChar"/>
        </w:rPr>
        <w:t>…a person imposes a condition, requirement or practice which is unreasonable in the circumstances and has the effect of disadvantaging a member of a group of people who</w:t>
      </w:r>
      <w:r>
        <w:t xml:space="preserve"> – </w:t>
      </w:r>
    </w:p>
    <w:p w:rsidR="006B64F4" w:rsidRDefault="006B64F4" w:rsidP="00083B26">
      <w:pPr>
        <w:pStyle w:val="Quote-sub-section"/>
      </w:pPr>
      <w:r>
        <w:t>(a)</w:t>
      </w:r>
      <w:r>
        <w:tab/>
      </w:r>
      <w:proofErr w:type="gramStart"/>
      <w:r>
        <w:t>share</w:t>
      </w:r>
      <w:proofErr w:type="gramEnd"/>
      <w:r>
        <w:t>, or are believed to share, a prescribed attribute; or</w:t>
      </w:r>
    </w:p>
    <w:p w:rsidR="00A13D40" w:rsidRDefault="006B64F4" w:rsidP="00083B26">
      <w:pPr>
        <w:pStyle w:val="Quote-sub-section"/>
      </w:pPr>
      <w:r>
        <w:t xml:space="preserve">(b) </w:t>
      </w:r>
      <w:r w:rsidR="00083B26">
        <w:tab/>
      </w:r>
      <w:proofErr w:type="gramStart"/>
      <w:r>
        <w:t>share</w:t>
      </w:r>
      <w:proofErr w:type="gramEnd"/>
      <w:r>
        <w:t>, or are believed to share, any of the characteristics imputed to that attribute</w:t>
      </w:r>
      <w:r w:rsidR="00A13D40">
        <w:t xml:space="preserve"> – </w:t>
      </w:r>
    </w:p>
    <w:p w:rsidR="006B64F4" w:rsidRDefault="00A13D40" w:rsidP="00083B26">
      <w:pPr>
        <w:pStyle w:val="Quote"/>
      </w:pPr>
      <w:proofErr w:type="gramStart"/>
      <w:r>
        <w:t>more</w:t>
      </w:r>
      <w:proofErr w:type="gramEnd"/>
      <w:r>
        <w:t xml:space="preserve"> than a person who is not a member of that group.</w:t>
      </w:r>
    </w:p>
    <w:p w:rsidR="00877CBD" w:rsidRDefault="00A13D40" w:rsidP="00877CBD">
      <w:r>
        <w:t>Sections 14(3) and 15(2) of the ADA provide that it is not necessary that the person who discriminates is aware that the practice or requirement is discriminatory</w:t>
      </w:r>
      <w:proofErr w:type="gramStart"/>
      <w:r>
        <w:t xml:space="preserve">. </w:t>
      </w:r>
      <w:proofErr w:type="gramEnd"/>
      <w:r w:rsidR="00877CBD">
        <w:t xml:space="preserve">This is particularly relevant when considering a range of behaviours that amount to age discrimination arising from unconscious bias. </w:t>
      </w:r>
    </w:p>
    <w:p w:rsidR="00A13D40" w:rsidRDefault="00A13D40" w:rsidP="00AE14AE">
      <w:r>
        <w:t>The prohibition of discrimination on the basis of age under Tasmanian law is, however, subject to a number of exceptions</w:t>
      </w:r>
      <w:proofErr w:type="gramStart"/>
      <w:r>
        <w:t xml:space="preserve">. </w:t>
      </w:r>
      <w:proofErr w:type="gramEnd"/>
      <w:r>
        <w:t xml:space="preserve">Exceptions are defences whereby otherwise unlawful conduct is not unlawful if the respondent person or organisation can establish on the balance of probabilities that the circumstances are such that the exception properly applies. </w:t>
      </w:r>
    </w:p>
    <w:p w:rsidR="00A13D40" w:rsidRDefault="00A13D40" w:rsidP="00AE14AE">
      <w:r>
        <w:t>Section 35 of the ADA provides that a person may discriminate against another person on the ground of age in relation to</w:t>
      </w:r>
      <w:r w:rsidR="00083B26">
        <w:t>:</w:t>
      </w:r>
    </w:p>
    <w:p w:rsidR="00A13D40" w:rsidRDefault="00A13D40" w:rsidP="00083B26">
      <w:pPr>
        <w:pStyle w:val="Quote-sub-section"/>
      </w:pPr>
      <w:r>
        <w:t>(a)</w:t>
      </w:r>
      <w:r>
        <w:tab/>
      </w:r>
      <w:proofErr w:type="gramStart"/>
      <w:r>
        <w:t>voluntary</w:t>
      </w:r>
      <w:proofErr w:type="gramEnd"/>
      <w:r>
        <w:t xml:space="preserve"> or compulsory retirement; or</w:t>
      </w:r>
    </w:p>
    <w:p w:rsidR="00A13D40" w:rsidRDefault="00A13D40" w:rsidP="00083B26">
      <w:pPr>
        <w:pStyle w:val="Quote-sub-section"/>
      </w:pPr>
      <w:r>
        <w:t>(b)</w:t>
      </w:r>
      <w:r>
        <w:tab/>
      </w:r>
      <w:proofErr w:type="gramStart"/>
      <w:r>
        <w:t>voluntary</w:t>
      </w:r>
      <w:proofErr w:type="gramEnd"/>
      <w:r>
        <w:t xml:space="preserve"> severance.</w:t>
      </w:r>
    </w:p>
    <w:p w:rsidR="00A13D40" w:rsidRDefault="00877CBD" w:rsidP="00A13D40">
      <w:r>
        <w:lastRenderedPageBreak/>
        <w:t xml:space="preserve">Section 36 also provides that a person may discriminate </w:t>
      </w:r>
      <w:proofErr w:type="gramStart"/>
      <w:r>
        <w:t>on the basis of</w:t>
      </w:r>
      <w:proofErr w:type="gramEnd"/>
      <w:r>
        <w:t xml:space="preserve"> age in relation to employment if the discrimination is based –</w:t>
      </w:r>
    </w:p>
    <w:p w:rsidR="00877CBD" w:rsidRDefault="00877CBD" w:rsidP="00083B26">
      <w:pPr>
        <w:pStyle w:val="Quote-sub-section"/>
      </w:pPr>
      <w:r>
        <w:t>(a)</w:t>
      </w:r>
      <w:r>
        <w:tab/>
      </w:r>
      <w:proofErr w:type="gramStart"/>
      <w:r>
        <w:t>a</w:t>
      </w:r>
      <w:proofErr w:type="gramEnd"/>
      <w:r>
        <w:t xml:space="preserve"> genuine occupational qualification or requirement in relation to a particular position; or </w:t>
      </w:r>
    </w:p>
    <w:p w:rsidR="00877CBD" w:rsidRDefault="00877CBD" w:rsidP="00083B26">
      <w:pPr>
        <w:pStyle w:val="Quote-sub-section"/>
      </w:pPr>
      <w:r>
        <w:t>(b)</w:t>
      </w:r>
      <w:r>
        <w:tab/>
      </w:r>
      <w:proofErr w:type="gramStart"/>
      <w:r>
        <w:t>on</w:t>
      </w:r>
      <w:proofErr w:type="gramEnd"/>
      <w:r>
        <w:t xml:space="preserve"> wage rates that are based on age.</w:t>
      </w:r>
    </w:p>
    <w:p w:rsidR="00877CBD" w:rsidRDefault="006C4C45" w:rsidP="00FC3AB3">
      <w:r>
        <w:t>E</w:t>
      </w:r>
      <w:r w:rsidR="00877CBD">
        <w:t>xcept</w:t>
      </w:r>
      <w:r w:rsidR="006B556A">
        <w:t>ions provided under the ADA do not automatically place an action beyond the reach of discrimination law</w:t>
      </w:r>
      <w:proofErr w:type="gramStart"/>
      <w:r w:rsidR="006B556A">
        <w:t xml:space="preserve">. </w:t>
      </w:r>
      <w:proofErr w:type="gramEnd"/>
      <w:r w:rsidR="006B556A">
        <w:t xml:space="preserve">A person can still make a complaint about those actions and in those circumstances a respondent wishing to take advantage of the exception will generally be required to prove that the exception applies. </w:t>
      </w:r>
    </w:p>
    <w:p w:rsidR="003765EA" w:rsidRPr="00083B26" w:rsidRDefault="003765EA" w:rsidP="006B5926">
      <w:pPr>
        <w:pStyle w:val="Heading2"/>
        <w:rPr>
          <w:i/>
        </w:rPr>
      </w:pPr>
      <w:bookmarkStart w:id="26" w:name="_Toc441923573"/>
      <w:r w:rsidRPr="00083B26">
        <w:rPr>
          <w:i/>
        </w:rPr>
        <w:t>Fair Work Act 2009</w:t>
      </w:r>
      <w:bookmarkEnd w:id="26"/>
    </w:p>
    <w:p w:rsidR="005065F9" w:rsidRDefault="003765EA" w:rsidP="005065F9">
      <w:r>
        <w:t xml:space="preserve">The </w:t>
      </w:r>
      <w:r w:rsidR="00E523E6" w:rsidRPr="0015601A">
        <w:rPr>
          <w:i/>
        </w:rPr>
        <w:t>Fair Work Act 2009</w:t>
      </w:r>
      <w:r w:rsidR="00E523E6">
        <w:t xml:space="preserve"> </w:t>
      </w:r>
      <w:r w:rsidR="0015601A">
        <w:t>(</w:t>
      </w:r>
      <w:proofErr w:type="spellStart"/>
      <w:r w:rsidR="0015601A">
        <w:t>Cth</w:t>
      </w:r>
      <w:proofErr w:type="spellEnd"/>
      <w:r w:rsidR="0015601A">
        <w:t>)</w:t>
      </w:r>
      <w:r w:rsidR="005065F9">
        <w:t xml:space="preserve"> (FWA)</w:t>
      </w:r>
      <w:r w:rsidR="0015601A">
        <w:t xml:space="preserve"> </w:t>
      </w:r>
      <w:r w:rsidR="00E523E6">
        <w:t>protects employees or prospective employees against adverse action because of discriminatory practices based on a person’s age</w:t>
      </w:r>
      <w:proofErr w:type="gramStart"/>
      <w:r w:rsidR="00E523E6">
        <w:t xml:space="preserve">. </w:t>
      </w:r>
      <w:proofErr w:type="gramEnd"/>
      <w:r w:rsidR="00E523E6">
        <w:t>This also includes a refusal to hire a prospective employee based on their age.</w:t>
      </w:r>
      <w:r w:rsidR="005065F9">
        <w:t xml:space="preserve"> Provisions have also been included in the FWA to extend the right to request flexible working arrangements to older workers (55+) and/or workers with caring responsibilities.</w:t>
      </w:r>
      <w:r w:rsidR="005065F9">
        <w:rPr>
          <w:rStyle w:val="FootnoteReference"/>
        </w:rPr>
        <w:footnoteReference w:id="36"/>
      </w:r>
      <w:r w:rsidR="005065F9">
        <w:t xml:space="preserve"> </w:t>
      </w:r>
    </w:p>
    <w:p w:rsidR="005065F9" w:rsidRDefault="00E523E6" w:rsidP="003765EA">
      <w:r>
        <w:t xml:space="preserve">The extent to which these provisions </w:t>
      </w:r>
      <w:r w:rsidR="005065F9">
        <w:t xml:space="preserve">are </w:t>
      </w:r>
      <w:r>
        <w:t>used by older employees is, however, unclear</w:t>
      </w:r>
      <w:proofErr w:type="gramStart"/>
      <w:r>
        <w:t xml:space="preserve">. </w:t>
      </w:r>
      <w:proofErr w:type="gramEnd"/>
      <w:r w:rsidR="005065F9">
        <w:t>As outlined in earlier sections</w:t>
      </w:r>
      <w:r w:rsidR="00A13D6D">
        <w:t>,</w:t>
      </w:r>
      <w:r w:rsidR="005065F9">
        <w:t xml:space="preserve"> there does not appear to be a strong </w:t>
      </w:r>
      <w:r w:rsidR="000453D2">
        <w:t xml:space="preserve">awareness among older workers of their employment rights, nor does there appear to be widespread understanding among employers or their obligations under the FWA. </w:t>
      </w:r>
    </w:p>
    <w:p w:rsidR="005065F9" w:rsidRDefault="005065F9" w:rsidP="003765EA">
      <w:r>
        <w:t>G</w:t>
      </w:r>
      <w:r w:rsidR="000453D2">
        <w:t>reater awareness of legal rights and obligations</w:t>
      </w:r>
      <w:r>
        <w:t xml:space="preserve"> </w:t>
      </w:r>
      <w:r w:rsidR="0015601A">
        <w:t>and the inclusion of review provisions to enable those who are refused a request to have that refusal reviewed by FWA</w:t>
      </w:r>
      <w:r>
        <w:t xml:space="preserve"> are strongly supported</w:t>
      </w:r>
      <w:r w:rsidR="0015601A">
        <w:t>.</w:t>
      </w:r>
      <w:r w:rsidR="0015601A">
        <w:rPr>
          <w:rStyle w:val="FootnoteReference"/>
        </w:rPr>
        <w:footnoteReference w:id="37"/>
      </w:r>
      <w:r w:rsidR="0015601A">
        <w:t xml:space="preserve"> </w:t>
      </w:r>
    </w:p>
    <w:p w:rsidR="005065F9" w:rsidRDefault="005065F9" w:rsidP="006B5926">
      <w:pPr>
        <w:pStyle w:val="Heading2"/>
      </w:pPr>
      <w:bookmarkStart w:id="27" w:name="_Toc441923574"/>
      <w:r>
        <w:t>Limits of current legislation</w:t>
      </w:r>
      <w:bookmarkEnd w:id="27"/>
    </w:p>
    <w:p w:rsidR="005065F9" w:rsidRDefault="00623F73" w:rsidP="005065F9">
      <w:r>
        <w:t xml:space="preserve">The </w:t>
      </w:r>
      <w:r w:rsidRPr="00623F73">
        <w:rPr>
          <w:i/>
        </w:rPr>
        <w:t>Disability Discrimination Act 1992</w:t>
      </w:r>
      <w:r>
        <w:t xml:space="preserve"> (</w:t>
      </w:r>
      <w:proofErr w:type="spellStart"/>
      <w:r>
        <w:t>Cth</w:t>
      </w:r>
      <w:proofErr w:type="spellEnd"/>
      <w:r>
        <w:t xml:space="preserve">) is currently the only Commonwealth </w:t>
      </w:r>
      <w:r w:rsidR="00A13D6D">
        <w:t>discrimination law</w:t>
      </w:r>
      <w:r>
        <w:t xml:space="preserve"> containing an explicit duty to make reasonable adjustments to those with protected attributes</w:t>
      </w:r>
      <w:proofErr w:type="gramStart"/>
      <w:r>
        <w:t xml:space="preserve">. </w:t>
      </w:r>
      <w:proofErr w:type="gramEnd"/>
      <w:r>
        <w:t>The inclusio</w:t>
      </w:r>
      <w:r w:rsidR="00A13D6D">
        <w:t>n of positive duties in s</w:t>
      </w:r>
      <w:r>
        <w:t>tate</w:t>
      </w:r>
      <w:r w:rsidR="00A13D6D">
        <w:t>, territory</w:t>
      </w:r>
      <w:r>
        <w:t xml:space="preserve"> and federal discrimination law would assist in addressing discrimination against older Australians and act as an incentive to employers to make workplace adjustments to facilitate ongoing participation of older people within the workforce. </w:t>
      </w:r>
    </w:p>
    <w:p w:rsidR="00A721A2" w:rsidRDefault="00A721A2" w:rsidP="005065F9">
      <w:r>
        <w:t>The inclusion of provisions that would facilitate the Australian Human Rights Commission undertaking proactive measures to address discrimination would also create further opportunities to provide guidance on how to avoid such practices and develop approaches that comply with anti-discrimination obligations.</w:t>
      </w:r>
    </w:p>
    <w:p w:rsidR="00A721A2" w:rsidRPr="005065F9" w:rsidRDefault="00526BB5" w:rsidP="005065F9">
      <w:r>
        <w:t>Age as a</w:t>
      </w:r>
      <w:r w:rsidR="00A13D6D">
        <w:t xml:space="preserve"> protected attribute under s</w:t>
      </w:r>
      <w:r w:rsidR="00A721A2">
        <w:t>tate</w:t>
      </w:r>
      <w:r w:rsidR="00A13D6D">
        <w:t>, territory</w:t>
      </w:r>
      <w:r w:rsidR="00A721A2">
        <w:t xml:space="preserve"> and </w:t>
      </w:r>
      <w:r w:rsidR="00A13D6D">
        <w:t xml:space="preserve">federal </w:t>
      </w:r>
      <w:r w:rsidR="00A721A2">
        <w:t xml:space="preserve">discrimination laws is </w:t>
      </w:r>
      <w:r>
        <w:t>subject to a broader range of defences and exemptions than many other attributes</w:t>
      </w:r>
      <w:proofErr w:type="gramStart"/>
      <w:r>
        <w:t xml:space="preserve">. </w:t>
      </w:r>
      <w:proofErr w:type="gramEnd"/>
      <w:r>
        <w:t xml:space="preserve">The effect of these </w:t>
      </w:r>
      <w:r>
        <w:lastRenderedPageBreak/>
        <w:t>provisions is to lower the level of protection available against age discrimination in many circumstances. A strong case exists for reviewing the way in which exempti</w:t>
      </w:r>
      <w:r w:rsidR="00A13D6D">
        <w:t xml:space="preserve">ons and defences work under discrimination </w:t>
      </w:r>
      <w:r>
        <w:t xml:space="preserve">laws </w:t>
      </w:r>
      <w:r w:rsidR="00A13D6D">
        <w:t xml:space="preserve">across Australia </w:t>
      </w:r>
      <w:r>
        <w:t xml:space="preserve">to ensure that they are least restrictive and continue to be consistent with the objects of these </w:t>
      </w:r>
      <w:r w:rsidR="00A13D6D">
        <w:t>laws</w:t>
      </w:r>
      <w:r>
        <w:t xml:space="preserve">. </w:t>
      </w:r>
    </w:p>
    <w:p w:rsidR="000453D2" w:rsidRDefault="002D158D" w:rsidP="006B5926">
      <w:pPr>
        <w:pStyle w:val="Heading2"/>
      </w:pPr>
      <w:bookmarkStart w:id="28" w:name="_Toc441923575"/>
      <w:r>
        <w:t>Beyond legislation</w:t>
      </w:r>
      <w:bookmarkEnd w:id="28"/>
    </w:p>
    <w:p w:rsidR="002D158D" w:rsidRDefault="002D158D" w:rsidP="002D158D">
      <w:r>
        <w:t xml:space="preserve">Strong discrimination legislation and legal protections aimed at enforcing fair work practices are important as a mechanism for sanctioning discrimination </w:t>
      </w:r>
      <w:proofErr w:type="gramStart"/>
      <w:r>
        <w:t>on the basis of</w:t>
      </w:r>
      <w:proofErr w:type="gramEnd"/>
      <w:r>
        <w:t xml:space="preserve"> age and act as</w:t>
      </w:r>
      <w:r w:rsidR="00A13D6D">
        <w:t xml:space="preserve"> a normative statement that age </w:t>
      </w:r>
      <w:r>
        <w:t>discrimination is not tolerated.</w:t>
      </w:r>
    </w:p>
    <w:p w:rsidR="002D158D" w:rsidRDefault="002D158D" w:rsidP="002D158D">
      <w:r>
        <w:t>In and of themselves, however, they are not the solution.</w:t>
      </w:r>
    </w:p>
    <w:p w:rsidR="002D158D" w:rsidRDefault="002D158D" w:rsidP="002D158D">
      <w:r>
        <w:t xml:space="preserve">Age-based stereotypes inform </w:t>
      </w:r>
      <w:proofErr w:type="gramStart"/>
      <w:r>
        <w:t>much discriminatory</w:t>
      </w:r>
      <w:proofErr w:type="gramEnd"/>
      <w:r>
        <w:t xml:space="preserve"> behaviour and strong action is needed to address </w:t>
      </w:r>
      <w:r w:rsidR="005065F9">
        <w:t>ongoing prejudice</w:t>
      </w:r>
      <w:r w:rsidR="00A13D6D">
        <w:t xml:space="preserve"> (conscious and unconscious)</w:t>
      </w:r>
      <w:r w:rsidR="005065F9">
        <w:t xml:space="preserve"> against older workers</w:t>
      </w:r>
      <w:r>
        <w:t>.</w:t>
      </w:r>
    </w:p>
    <w:p w:rsidR="006C4C45" w:rsidRDefault="00A13D6D" w:rsidP="006C4C45">
      <w:r>
        <w:t>While</w:t>
      </w:r>
      <w:r w:rsidR="006C4C45">
        <w:t xml:space="preserve"> legal remedies are available to those who consider they have been discriminated against on the basis of age, it is clear many employers and those in the recruitment industry lack awareness of their legal obligations in respect of age discrimination</w:t>
      </w:r>
      <w:proofErr w:type="gramStart"/>
      <w:r>
        <w:t>.</w:t>
      </w:r>
      <w:r w:rsidR="006C4C45">
        <w:t xml:space="preserve"> </w:t>
      </w:r>
      <w:proofErr w:type="gramEnd"/>
      <w:r>
        <w:t>B</w:t>
      </w:r>
      <w:r w:rsidR="006C4C45">
        <w:t>road strategies are required to promote attitudinal and cultural change across the community.</w:t>
      </w:r>
      <w:r w:rsidR="006C4C45">
        <w:rPr>
          <w:rStyle w:val="FootnoteReference"/>
        </w:rPr>
        <w:footnoteReference w:id="38"/>
      </w:r>
      <w:r w:rsidR="006C4C45">
        <w:t xml:space="preserve"> </w:t>
      </w:r>
    </w:p>
    <w:p w:rsidR="002D158D" w:rsidRPr="002D158D" w:rsidRDefault="002D158D" w:rsidP="002D158D">
      <w:r>
        <w:t>Just as there is a concerted campaign to break gender stereotypes through campaigns such as the Males Champions of Change process, there is also a need to engage employers and recruiting bodies to work against age discrimination.</w:t>
      </w:r>
    </w:p>
    <w:p w:rsidR="00AC5DD5" w:rsidRPr="00083B26" w:rsidRDefault="00AC5DD5" w:rsidP="00083B26">
      <w:pPr>
        <w:pStyle w:val="Heading1"/>
      </w:pPr>
      <w:bookmarkStart w:id="29" w:name="_Toc441923576"/>
      <w:r w:rsidRPr="00083B26">
        <w:lastRenderedPageBreak/>
        <w:t>Barriers to employment</w:t>
      </w:r>
      <w:bookmarkEnd w:id="29"/>
    </w:p>
    <w:p w:rsidR="00AC5DD5" w:rsidRDefault="00AC5DD5" w:rsidP="008E32DC">
      <w:pPr>
        <w:pStyle w:val="EOT-Contentssectionhead"/>
      </w:pPr>
      <w:r>
        <w:t>7.</w:t>
      </w:r>
      <w:r>
        <w:tab/>
        <w:t>What are the distinct challenges faced by certain groups of older Australians (</w:t>
      </w:r>
      <w:proofErr w:type="spellStart"/>
      <w:r>
        <w:t>eg</w:t>
      </w:r>
      <w:proofErr w:type="spellEnd"/>
      <w:r>
        <w:t>, women, Aboriginal and Torres Strait Islander peoples, people from culturally and linguistically diverse backgrounds or LGBTI people) in relation to employment discrimination?</w:t>
      </w:r>
    </w:p>
    <w:p w:rsidR="00AC5DD5" w:rsidRDefault="006E5E54" w:rsidP="00AC5DD5">
      <w:r>
        <w:t xml:space="preserve">Approximately 1.2% of the Tasmanian population </w:t>
      </w:r>
      <w:r w:rsidR="00235C79">
        <w:t xml:space="preserve">aged over 65 years </w:t>
      </w:r>
      <w:r w:rsidR="00A13D6D">
        <w:t>identifies</w:t>
      </w:r>
      <w:r>
        <w:t xml:space="preserve"> as Aboriginal and</w:t>
      </w:r>
      <w:r w:rsidR="00A13D6D">
        <w:t>/or</w:t>
      </w:r>
      <w:r>
        <w:t xml:space="preserve"> Torres Strait Islander, although in some areas (such as Flinders Island) the proportion of older Aboriginal and</w:t>
      </w:r>
      <w:r w:rsidR="00A13D6D">
        <w:t>/or</w:t>
      </w:r>
      <w:r>
        <w:t xml:space="preserve"> Torres Strait Islander persons may be as high as 10%.</w:t>
      </w:r>
      <w:r>
        <w:rPr>
          <w:rStyle w:val="FootnoteReference"/>
        </w:rPr>
        <w:footnoteReference w:id="39"/>
      </w:r>
    </w:p>
    <w:p w:rsidR="00235C79" w:rsidRDefault="006E5E54" w:rsidP="00AC5DD5">
      <w:r>
        <w:t xml:space="preserve">At the same time, available data indicates older Tasmanians are more culturally diverse than their younger counterparts, with approximately 28% being born overseas, commonly </w:t>
      </w:r>
      <w:r w:rsidR="00A13D6D">
        <w:t>in</w:t>
      </w:r>
      <w:r>
        <w:t xml:space="preserve"> Europe.</w:t>
      </w:r>
      <w:r>
        <w:rPr>
          <w:rStyle w:val="FootnoteReference"/>
        </w:rPr>
        <w:footnoteReference w:id="40"/>
      </w:r>
    </w:p>
    <w:p w:rsidR="00235C79" w:rsidRDefault="00235C79" w:rsidP="00AC5DD5">
      <w:r>
        <w:t xml:space="preserve">Discrimination </w:t>
      </w:r>
      <w:proofErr w:type="gramStart"/>
      <w:r>
        <w:t>on the basis of</w:t>
      </w:r>
      <w:proofErr w:type="gramEnd"/>
      <w:r>
        <w:t xml:space="preserve"> more than one attribute</w:t>
      </w:r>
      <w:r w:rsidR="00A13D6D">
        <w:t>,</w:t>
      </w:r>
      <w:r>
        <w:t xml:space="preserve"> such as age and gender or racial or ethnic background, has the potential to be both quantitatively and qualitatively different than that experienced by those who experience discrimination on each of these grounds alone.</w:t>
      </w:r>
    </w:p>
    <w:p w:rsidR="00235C79" w:rsidRDefault="00235C79" w:rsidP="00AC5DD5">
      <w:r>
        <w:t xml:space="preserve">It is clear from the data outlined earlier in this submission and in the background material provided for </w:t>
      </w:r>
      <w:r w:rsidR="00A13D6D">
        <w:t>this inquiry</w:t>
      </w:r>
      <w:r>
        <w:t xml:space="preserve"> that women, for example, are often considerably more disadvantaged by low levels of workplace attachment that may be exacerbated by their experiences in the workplace later in life</w:t>
      </w:r>
      <w:proofErr w:type="gramStart"/>
      <w:r>
        <w:t xml:space="preserve">. </w:t>
      </w:r>
      <w:proofErr w:type="gramEnd"/>
      <w:r w:rsidR="00E444AD">
        <w:t>Recent data from the Workplace Gender Equality Agency reveals the superannuation contributions for women are 19.3% less than for men and women retire with an average of 46.6% less superannuation than men</w:t>
      </w:r>
      <w:r w:rsidR="00B14059">
        <w:t xml:space="preserve"> often </w:t>
      </w:r>
      <w:proofErr w:type="gramStart"/>
      <w:r w:rsidR="00B14059">
        <w:t>as a result</w:t>
      </w:r>
      <w:proofErr w:type="gramEnd"/>
      <w:r w:rsidR="00B14059">
        <w:t xml:space="preserve"> of their poor attachment to the workforce</w:t>
      </w:r>
      <w:r w:rsidR="00E444AD">
        <w:t>.</w:t>
      </w:r>
      <w:r w:rsidR="00E444AD">
        <w:rPr>
          <w:rStyle w:val="FootnoteReference"/>
        </w:rPr>
        <w:footnoteReference w:id="41"/>
      </w:r>
    </w:p>
    <w:p w:rsidR="00235C79" w:rsidRDefault="00235C79" w:rsidP="00AC5DD5">
      <w:r>
        <w:t xml:space="preserve">Similarly, the prejudice experienced by older workers from diverse racial and ethnic backgrounds is also likely to </w:t>
      </w:r>
      <w:r w:rsidR="00B14059">
        <w:t>be exacerbated in older age groups</w:t>
      </w:r>
      <w:proofErr w:type="gramStart"/>
      <w:r>
        <w:t xml:space="preserve">. </w:t>
      </w:r>
      <w:proofErr w:type="gramEnd"/>
      <w:r w:rsidR="007B555F">
        <w:t xml:space="preserve">Older migrants, particularly those who have come to Australia under family reunion or humanitarian entrant programs, may lack fluency in English, be unfamiliar with Australian culture and have difficulty in getting their skills recognised in Australia. </w:t>
      </w:r>
      <w:r w:rsidR="00B14059">
        <w:t xml:space="preserve">This is reflected </w:t>
      </w:r>
      <w:r w:rsidR="007B555F">
        <w:t>in disproportionately high unemployment rates among recent migrants.</w:t>
      </w:r>
    </w:p>
    <w:p w:rsidR="006E5E54" w:rsidRDefault="00E82A95" w:rsidP="00AC5DD5">
      <w:r>
        <w:t>Across all age groups it is clear that disadvantage reduces the likelihood of being employed and this effect is compounded in older age groups</w:t>
      </w:r>
      <w:proofErr w:type="gramStart"/>
      <w:r>
        <w:t>.</w:t>
      </w:r>
      <w:r w:rsidR="007B555F">
        <w:t xml:space="preserve"> </w:t>
      </w:r>
      <w:proofErr w:type="gramEnd"/>
      <w:r w:rsidR="007B555F">
        <w:t xml:space="preserve">Mature age job seekers and those in employment from diverse cultural and ethnic backgrounds, as well as women, people with disability and those with other attributes, each experience distinct intersectional disadvantages which must be actively addressed through appropriate strategies. </w:t>
      </w:r>
      <w:bookmarkStart w:id="30" w:name="_GoBack"/>
      <w:bookmarkEnd w:id="30"/>
    </w:p>
    <w:sectPr w:rsidR="006E5E54" w:rsidSect="00094FC7">
      <w:headerReference w:type="default" r:id="rId15"/>
      <w:footerReference w:type="default" r:id="rId16"/>
      <w:pgSz w:w="11906" w:h="16838" w:code="9"/>
      <w:pgMar w:top="2268" w:right="1298" w:bottom="278" w:left="107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46" w:rsidRDefault="00A82D46" w:rsidP="00FC3AB3">
      <w:r>
        <w:separator/>
      </w:r>
    </w:p>
  </w:endnote>
  <w:endnote w:type="continuationSeparator" w:id="0">
    <w:p w:rsidR="00A82D46" w:rsidRDefault="00A82D46" w:rsidP="00FC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26" w:rsidRPr="00A04497" w:rsidRDefault="006B5926" w:rsidP="00DF0798">
    <w:pPr>
      <w:pStyle w:val="Footer"/>
      <w:pBdr>
        <w:top w:val="single" w:sz="4" w:space="1" w:color="auto"/>
      </w:pBdr>
      <w:spacing w:after="240" w:line="280" w:lineRule="exact"/>
      <w:jc w:val="right"/>
      <w:rPr>
        <w:sz w:val="24"/>
        <w:szCs w:val="24"/>
      </w:rPr>
    </w:pPr>
  </w:p>
  <w:p w:rsidR="006B5926" w:rsidRPr="00A04497" w:rsidRDefault="006B5926" w:rsidP="00DF0798">
    <w:pPr>
      <w:pStyle w:val="Footer"/>
      <w:pBdr>
        <w:top w:val="single" w:sz="4" w:space="1" w:color="auto"/>
      </w:pBdr>
      <w:spacing w:after="240" w:line="280" w:lineRule="exact"/>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26" w:rsidRPr="00A04497" w:rsidRDefault="006B5926" w:rsidP="00A04497">
    <w:pPr>
      <w:pStyle w:val="Footer"/>
      <w:pBdr>
        <w:top w:val="single" w:sz="4" w:space="1" w:color="auto"/>
      </w:pBdr>
      <w:spacing w:after="240" w:line="280" w:lineRule="exact"/>
      <w:jc w:val="right"/>
      <w:rPr>
        <w:sz w:val="24"/>
        <w:szCs w:val="24"/>
      </w:rPr>
    </w:pPr>
  </w:p>
  <w:p w:rsidR="006B5926" w:rsidRPr="00A04497" w:rsidRDefault="006B5926" w:rsidP="00A04497">
    <w:pPr>
      <w:pStyle w:val="Footer"/>
      <w:pBdr>
        <w:top w:val="single" w:sz="4" w:space="1" w:color="auto"/>
      </w:pBdr>
      <w:spacing w:after="240" w:line="280" w:lineRule="exact"/>
      <w:jc w:val="right"/>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26" w:rsidRPr="00A04497" w:rsidRDefault="006B5926" w:rsidP="00DF0798">
    <w:pPr>
      <w:pStyle w:val="Footer"/>
      <w:pBdr>
        <w:top w:val="single" w:sz="4" w:space="1" w:color="auto"/>
      </w:pBdr>
      <w:spacing w:after="240" w:line="280" w:lineRule="exact"/>
      <w:jc w:val="right"/>
      <w:rPr>
        <w:sz w:val="24"/>
        <w:szCs w:val="24"/>
      </w:rPr>
    </w:pPr>
  </w:p>
  <w:p w:rsidR="006B5926" w:rsidRPr="00A04497" w:rsidRDefault="006B5926" w:rsidP="00DF0798">
    <w:pPr>
      <w:pStyle w:val="Footer"/>
      <w:pBdr>
        <w:top w:val="single" w:sz="4" w:space="1" w:color="auto"/>
      </w:pBdr>
      <w:spacing w:after="240" w:line="280" w:lineRule="exact"/>
      <w:jc w:val="right"/>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26" w:rsidRPr="000D76EF" w:rsidRDefault="006B5926" w:rsidP="00460734">
    <w:pPr>
      <w:spacing w:before="240"/>
      <w:rPr>
        <w:b/>
        <w:color w:val="BC1572"/>
        <w:sz w:val="20"/>
        <w:szCs w:val="20"/>
      </w:rPr>
    </w:pPr>
    <w:r w:rsidRPr="000D76EF">
      <w:rPr>
        <w:b/>
        <w:color w:val="BC1572"/>
        <w:sz w:val="20"/>
        <w:szCs w:val="20"/>
      </w:rPr>
      <w:t>www.equalopportunity.tas.gov.au</w:t>
    </w:r>
  </w:p>
  <w:p w:rsidR="006B5926" w:rsidRPr="00460734" w:rsidRDefault="006B5926" w:rsidP="00460734">
    <w:pPr>
      <w:pStyle w:val="Footer"/>
      <w:pBdr>
        <w:top w:val="single" w:sz="4" w:space="1" w:color="auto"/>
      </w:pBdr>
      <w:jc w:val="right"/>
      <w:rPr>
        <w:sz w:val="18"/>
        <w:szCs w:val="18"/>
      </w:rPr>
    </w:pPr>
    <w:r w:rsidRPr="00460734">
      <w:rPr>
        <w:sz w:val="18"/>
        <w:szCs w:val="18"/>
      </w:rPr>
      <w:fldChar w:fldCharType="begin"/>
    </w:r>
    <w:r w:rsidRPr="00460734">
      <w:rPr>
        <w:sz w:val="18"/>
        <w:szCs w:val="18"/>
      </w:rPr>
      <w:instrText xml:space="preserve"> PAGE   \* MERGEFORMAT </w:instrText>
    </w:r>
    <w:r w:rsidRPr="00460734">
      <w:rPr>
        <w:sz w:val="18"/>
        <w:szCs w:val="18"/>
      </w:rPr>
      <w:fldChar w:fldCharType="separate"/>
    </w:r>
    <w:r w:rsidR="00A13D6D">
      <w:rPr>
        <w:noProof/>
        <w:sz w:val="18"/>
        <w:szCs w:val="18"/>
      </w:rPr>
      <w:t>27</w:t>
    </w:r>
    <w:r w:rsidRPr="00460734">
      <w:rPr>
        <w:noProof/>
        <w:sz w:val="18"/>
        <w:szCs w:val="18"/>
      </w:rPr>
      <w:fldChar w:fldCharType="end"/>
    </w:r>
    <w:r w:rsidRPr="00460734">
      <w:rPr>
        <w:sz w:val="18"/>
        <w:szCs w:val="18"/>
      </w:rPr>
      <w:t xml:space="preserve"> | </w:t>
    </w:r>
    <w:r w:rsidRPr="00460734">
      <w:rPr>
        <w:color w:val="808080"/>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46" w:rsidRDefault="00A82D46" w:rsidP="00FC3AB3">
      <w:r>
        <w:separator/>
      </w:r>
    </w:p>
  </w:footnote>
  <w:footnote w:type="continuationSeparator" w:id="0">
    <w:p w:rsidR="00A82D46" w:rsidRDefault="00A82D46" w:rsidP="00FC3AB3">
      <w:r>
        <w:continuationSeparator/>
      </w:r>
    </w:p>
  </w:footnote>
  <w:footnote w:id="1">
    <w:p w:rsidR="006B5926" w:rsidRDefault="006B5926" w:rsidP="000C4A13">
      <w:pPr>
        <w:pStyle w:val="FootnoteText"/>
        <w:ind w:left="709" w:hanging="709"/>
      </w:pPr>
      <w:r>
        <w:rPr>
          <w:rStyle w:val="FootnoteReference"/>
        </w:rPr>
        <w:footnoteRef/>
      </w:r>
      <w:r>
        <w:t xml:space="preserve"> </w:t>
      </w:r>
      <w:r>
        <w:tab/>
        <w:t xml:space="preserve">Council of the Ageing (Tasmania), </w:t>
      </w:r>
      <w:proofErr w:type="gramStart"/>
      <w:r w:rsidRPr="000C4A13">
        <w:rPr>
          <w:i/>
        </w:rPr>
        <w:t>Facing</w:t>
      </w:r>
      <w:proofErr w:type="gramEnd"/>
      <w:r w:rsidRPr="000C4A13">
        <w:rPr>
          <w:i/>
        </w:rPr>
        <w:t xml:space="preserve"> the Future: A baseline profile on older Tasmanians </w:t>
      </w:r>
      <w:r>
        <w:t>(Department of Premier and Cabinet, 2013).</w:t>
      </w:r>
    </w:p>
  </w:footnote>
  <w:footnote w:id="2">
    <w:p w:rsidR="006B5926" w:rsidRDefault="006B5926" w:rsidP="00C005F6">
      <w:pPr>
        <w:pStyle w:val="FootnoteText"/>
        <w:ind w:left="709" w:hanging="709"/>
      </w:pPr>
      <w:r>
        <w:rPr>
          <w:rStyle w:val="FootnoteReference"/>
        </w:rPr>
        <w:footnoteRef/>
      </w:r>
      <w:r>
        <w:t xml:space="preserve"> </w:t>
      </w:r>
      <w:r>
        <w:tab/>
        <w:t xml:space="preserve">J Temple, </w:t>
      </w:r>
      <w:r w:rsidRPr="004762AA">
        <w:rPr>
          <w:i/>
        </w:rPr>
        <w:t>Past present and future of mature age labour force participation in Australia: How do regions differ</w:t>
      </w:r>
      <w:proofErr w:type="gramStart"/>
      <w:r w:rsidRPr="004762AA">
        <w:rPr>
          <w:i/>
        </w:rPr>
        <w:t>?</w:t>
      </w:r>
      <w:r>
        <w:t xml:space="preserve"> (National Seniors Productive Ageing Centre, Melbourne, April 2014) 20.</w:t>
      </w:r>
      <w:proofErr w:type="gramEnd"/>
    </w:p>
  </w:footnote>
  <w:footnote w:id="3">
    <w:p w:rsidR="006B5926" w:rsidRPr="00231ECF" w:rsidRDefault="006B5926" w:rsidP="002C36BE">
      <w:pPr>
        <w:pStyle w:val="FootnoteText"/>
        <w:ind w:left="709" w:hanging="709"/>
      </w:pPr>
      <w:r>
        <w:rPr>
          <w:rStyle w:val="FootnoteReference"/>
        </w:rPr>
        <w:footnoteRef/>
      </w:r>
      <w:r>
        <w:t xml:space="preserve"> </w:t>
      </w:r>
      <w:r>
        <w:tab/>
      </w:r>
      <w:proofErr w:type="gramStart"/>
      <w:r w:rsidRPr="00231ECF">
        <w:t xml:space="preserve">Council of the Ageing (Tasmania), </w:t>
      </w:r>
      <w:r w:rsidR="002C5C4B">
        <w:t>above n </w:t>
      </w:r>
      <w:r w:rsidR="002C5C4B">
        <w:fldChar w:fldCharType="begin"/>
      </w:r>
      <w:r w:rsidR="002C5C4B">
        <w:instrText xml:space="preserve"> NOTEREF _Ref441934153 \h </w:instrText>
      </w:r>
      <w:r w:rsidR="002C5C4B">
        <w:fldChar w:fldCharType="separate"/>
      </w:r>
      <w:r w:rsidR="002C5C4B">
        <w:t>1</w:t>
      </w:r>
      <w:r w:rsidR="002C5C4B">
        <w:fldChar w:fldCharType="end"/>
      </w:r>
      <w:r w:rsidR="002C5C4B">
        <w:t>,</w:t>
      </w:r>
      <w:r w:rsidRPr="00231ECF">
        <w:t xml:space="preserve"> 115.</w:t>
      </w:r>
      <w:proofErr w:type="gramEnd"/>
    </w:p>
  </w:footnote>
  <w:footnote w:id="4">
    <w:p w:rsidR="00231ECF" w:rsidRPr="00231ECF" w:rsidRDefault="00231ECF" w:rsidP="00231ECF">
      <w:pPr>
        <w:pStyle w:val="FootnoteText"/>
        <w:ind w:left="709" w:hanging="709"/>
      </w:pPr>
      <w:r>
        <w:rPr>
          <w:rStyle w:val="FootnoteReference"/>
        </w:rPr>
        <w:footnoteRef/>
      </w:r>
      <w:r>
        <w:t xml:space="preserve"> </w:t>
      </w:r>
      <w:r>
        <w:tab/>
      </w:r>
      <w:r w:rsidRPr="00231ECF">
        <w:t xml:space="preserve">Both because of size of the ageing population and the generally lower levels of income earned during working life in Tasmania. </w:t>
      </w:r>
    </w:p>
  </w:footnote>
  <w:footnote w:id="5">
    <w:p w:rsidR="006B5926" w:rsidRDefault="006B5926" w:rsidP="002C36BE">
      <w:pPr>
        <w:pStyle w:val="FootnoteText"/>
        <w:ind w:left="709" w:hanging="709"/>
      </w:pPr>
      <w:r>
        <w:rPr>
          <w:rStyle w:val="FootnoteReference"/>
        </w:rPr>
        <w:footnoteRef/>
      </w:r>
      <w:r>
        <w:t xml:space="preserve"> </w:t>
      </w:r>
      <w:r>
        <w:tab/>
      </w:r>
      <w:proofErr w:type="gramStart"/>
      <w:r>
        <w:t>Council of the Ageing (Tasmania</w:t>
      </w:r>
      <w:r w:rsidR="002C5C4B">
        <w:t>), above n </w:t>
      </w:r>
      <w:r w:rsidR="002C5C4B">
        <w:fldChar w:fldCharType="begin"/>
      </w:r>
      <w:r w:rsidR="002C5C4B">
        <w:instrText xml:space="preserve"> NOTEREF _Ref441934153 \h </w:instrText>
      </w:r>
      <w:r w:rsidR="002C5C4B">
        <w:fldChar w:fldCharType="separate"/>
      </w:r>
      <w:r w:rsidR="002C5C4B">
        <w:t>1</w:t>
      </w:r>
      <w:r w:rsidR="002C5C4B">
        <w:fldChar w:fldCharType="end"/>
      </w:r>
      <w:r w:rsidR="002C5C4B">
        <w:t>,</w:t>
      </w:r>
      <w:r>
        <w:t xml:space="preserve"> 77.</w:t>
      </w:r>
      <w:proofErr w:type="gramEnd"/>
    </w:p>
  </w:footnote>
  <w:footnote w:id="6">
    <w:p w:rsidR="006B5926" w:rsidRDefault="006B5926" w:rsidP="002C36BE">
      <w:pPr>
        <w:pStyle w:val="FootnoteText"/>
        <w:ind w:left="709" w:hanging="709"/>
      </w:pPr>
      <w:r>
        <w:rPr>
          <w:rStyle w:val="FootnoteReference"/>
        </w:rPr>
        <w:footnoteRef/>
      </w:r>
      <w:r>
        <w:t xml:space="preserve"> </w:t>
      </w:r>
      <w:r>
        <w:tab/>
      </w:r>
      <w:r w:rsidR="002C5C4B">
        <w:t>Ibid</w:t>
      </w:r>
      <w:r>
        <w:t>.</w:t>
      </w:r>
    </w:p>
  </w:footnote>
  <w:footnote w:id="7">
    <w:p w:rsidR="006B5926" w:rsidRDefault="006B5926" w:rsidP="002C36BE">
      <w:pPr>
        <w:pStyle w:val="FootnoteText"/>
        <w:ind w:left="709" w:hanging="709"/>
      </w:pPr>
      <w:r>
        <w:rPr>
          <w:rStyle w:val="FootnoteReference"/>
        </w:rPr>
        <w:footnoteRef/>
      </w:r>
      <w:r>
        <w:t xml:space="preserve"> </w:t>
      </w:r>
      <w:r>
        <w:tab/>
      </w:r>
      <w:r w:rsidR="002C5C4B">
        <w:t>Ibid.</w:t>
      </w:r>
    </w:p>
  </w:footnote>
  <w:footnote w:id="8">
    <w:p w:rsidR="006B5926" w:rsidRDefault="006B5926" w:rsidP="002C36BE">
      <w:pPr>
        <w:pStyle w:val="FootnoteText"/>
        <w:ind w:left="709" w:hanging="709"/>
      </w:pPr>
      <w:r>
        <w:rPr>
          <w:rStyle w:val="FootnoteReference"/>
        </w:rPr>
        <w:footnoteRef/>
      </w:r>
      <w:r>
        <w:t xml:space="preserve"> </w:t>
      </w:r>
      <w:r>
        <w:tab/>
        <w:t xml:space="preserve">Tasmanian Government, </w:t>
      </w:r>
      <w:r w:rsidRPr="0078247E">
        <w:rPr>
          <w:i/>
        </w:rPr>
        <w:t>Inclusiv</w:t>
      </w:r>
      <w:r w:rsidR="002C5C4B">
        <w:rPr>
          <w:i/>
        </w:rPr>
        <w:t>e Ageing: Tasmania 2012–</w:t>
      </w:r>
      <w:r w:rsidRPr="0078247E">
        <w:rPr>
          <w:i/>
        </w:rPr>
        <w:t>2014 Strategy</w:t>
      </w:r>
      <w:r>
        <w:t xml:space="preserve"> (DPAC, July 2012)</w:t>
      </w:r>
      <w:r w:rsidR="002C5C4B">
        <w:t>.</w:t>
      </w:r>
      <w:r>
        <w:t xml:space="preserve"> </w:t>
      </w:r>
    </w:p>
  </w:footnote>
  <w:footnote w:id="9">
    <w:p w:rsidR="006B5926" w:rsidRDefault="006B5926" w:rsidP="00C005F6">
      <w:pPr>
        <w:pStyle w:val="FootnoteText"/>
        <w:ind w:left="709" w:hanging="709"/>
      </w:pPr>
      <w:r>
        <w:rPr>
          <w:rStyle w:val="FootnoteReference"/>
        </w:rPr>
        <w:footnoteRef/>
      </w:r>
      <w:r>
        <w:t xml:space="preserve"> </w:t>
      </w:r>
      <w:r>
        <w:tab/>
        <w:t xml:space="preserve">Australian Bureau of Statistics, </w:t>
      </w:r>
      <w:r w:rsidRPr="00C005F6">
        <w:rPr>
          <w:i/>
        </w:rPr>
        <w:t xml:space="preserve">Retirement and Retirement </w:t>
      </w:r>
      <w:r>
        <w:rPr>
          <w:i/>
        </w:rPr>
        <w:t>Intentions, Australia July 2012–</w:t>
      </w:r>
      <w:r w:rsidRPr="00C005F6">
        <w:rPr>
          <w:i/>
        </w:rPr>
        <w:t>June 2013</w:t>
      </w:r>
      <w:r>
        <w:t xml:space="preserve"> (Cat No. 6238.0, Canberra) Table 6.</w:t>
      </w:r>
    </w:p>
  </w:footnote>
  <w:footnote w:id="10">
    <w:p w:rsidR="006B5926" w:rsidRDefault="006B5926" w:rsidP="00231A7B">
      <w:pPr>
        <w:pStyle w:val="FootnoteText"/>
        <w:ind w:left="709" w:hanging="709"/>
      </w:pPr>
      <w:r>
        <w:rPr>
          <w:rStyle w:val="FootnoteReference"/>
        </w:rPr>
        <w:footnoteRef/>
      </w:r>
      <w:r>
        <w:t xml:space="preserve"> </w:t>
      </w:r>
      <w:r>
        <w:tab/>
        <w:t xml:space="preserve">Peter </w:t>
      </w:r>
      <w:proofErr w:type="spellStart"/>
      <w:r>
        <w:t>Gutwein</w:t>
      </w:r>
      <w:proofErr w:type="spellEnd"/>
      <w:r>
        <w:t>, Treasurer, ‘Update on public sector FTE numbers’ (Media Release, 30 April 2015).</w:t>
      </w:r>
    </w:p>
  </w:footnote>
  <w:footnote w:id="11">
    <w:p w:rsidR="006B5926" w:rsidRDefault="006B5926" w:rsidP="00231A7B">
      <w:pPr>
        <w:pStyle w:val="FootnoteText"/>
        <w:ind w:left="709" w:hanging="709"/>
      </w:pPr>
      <w:r>
        <w:rPr>
          <w:rStyle w:val="FootnoteReference"/>
        </w:rPr>
        <w:footnoteRef/>
      </w:r>
      <w:r>
        <w:t xml:space="preserve"> </w:t>
      </w:r>
      <w:r>
        <w:tab/>
        <w:t>See Department of Premier and Cabinet (</w:t>
      </w:r>
      <w:proofErr w:type="gramStart"/>
      <w:r>
        <w:t>Tas</w:t>
      </w:r>
      <w:proofErr w:type="gramEnd"/>
      <w:r>
        <w:t>) ‘Workforce Renewal Incentive Program’ available at &lt;</w:t>
      </w:r>
      <w:hyperlink r:id="rId1" w:history="1">
        <w:r w:rsidRPr="008F0B82">
          <w:rPr>
            <w:rStyle w:val="Hyperlink"/>
          </w:rPr>
          <w:t>http://www.dpac.tas.gov.au/divisions/ssmo/Managing_Positions_in_the_State_Service/workforce_renewal_incentive_program</w:t>
        </w:r>
      </w:hyperlink>
      <w:r>
        <w:t>&gt;.</w:t>
      </w:r>
    </w:p>
  </w:footnote>
  <w:footnote w:id="12">
    <w:p w:rsidR="006B5926" w:rsidRDefault="006B5926" w:rsidP="00231A7B">
      <w:pPr>
        <w:pStyle w:val="FootnoteText"/>
        <w:ind w:left="709" w:hanging="709"/>
      </w:pPr>
      <w:r>
        <w:rPr>
          <w:rStyle w:val="FootnoteReference"/>
        </w:rPr>
        <w:footnoteRef/>
      </w:r>
      <w:r>
        <w:t xml:space="preserve"> </w:t>
      </w:r>
      <w:r>
        <w:tab/>
        <w:t xml:space="preserve">Blair Richards ‘Auditor-General Mike Blake to probe public service job cuts’, </w:t>
      </w:r>
      <w:r w:rsidRPr="008E7BD2">
        <w:rPr>
          <w:i/>
        </w:rPr>
        <w:t xml:space="preserve">Mercury </w:t>
      </w:r>
      <w:r>
        <w:t>(online), 8 July 2015 &lt;</w:t>
      </w:r>
      <w:hyperlink r:id="rId2" w:history="1">
        <w:r w:rsidRPr="008F0B82">
          <w:rPr>
            <w:rStyle w:val="Hyperlink"/>
          </w:rPr>
          <w:t>http://www.themercury.com.au/news/tasmania/auditor-general-mike-blake-to-probe-public-service-job-cuts/story-fnj4f7k1-1227432945539</w:t>
        </w:r>
      </w:hyperlink>
      <w:r>
        <w:t>&gt;.</w:t>
      </w:r>
    </w:p>
  </w:footnote>
  <w:footnote w:id="13">
    <w:p w:rsidR="006B5926" w:rsidRDefault="006B5926" w:rsidP="00231A7B">
      <w:pPr>
        <w:pStyle w:val="FootnoteText"/>
        <w:ind w:left="709" w:hanging="709"/>
      </w:pPr>
      <w:r>
        <w:rPr>
          <w:rStyle w:val="FootnoteReference"/>
        </w:rPr>
        <w:footnoteRef/>
      </w:r>
      <w:r>
        <w:t xml:space="preserve"> </w:t>
      </w:r>
      <w:r>
        <w:tab/>
        <w:t xml:space="preserve">J Temple, </w:t>
      </w:r>
      <w:r w:rsidRPr="004762AA">
        <w:rPr>
          <w:i/>
        </w:rPr>
        <w:t>Past present and future of mature age labour force participation in Australia: How do regions differ</w:t>
      </w:r>
      <w:proofErr w:type="gramStart"/>
      <w:r w:rsidRPr="004762AA">
        <w:rPr>
          <w:i/>
        </w:rPr>
        <w:t>?</w:t>
      </w:r>
      <w:r>
        <w:t xml:space="preserve"> (National Seniors Productive Ageing Centre, Melbourne, April 2014) 22–7.</w:t>
      </w:r>
      <w:proofErr w:type="gramEnd"/>
    </w:p>
  </w:footnote>
  <w:footnote w:id="14">
    <w:p w:rsidR="006B5926" w:rsidRPr="004D6FCA" w:rsidRDefault="006B5926" w:rsidP="004D6FCA">
      <w:pPr>
        <w:pStyle w:val="FootnoteText"/>
        <w:ind w:left="709" w:hanging="709"/>
      </w:pPr>
      <w:r>
        <w:rPr>
          <w:rStyle w:val="FootnoteReference"/>
        </w:rPr>
        <w:footnoteRef/>
      </w:r>
      <w:r>
        <w:t xml:space="preserve"> </w:t>
      </w:r>
      <w:r>
        <w:tab/>
      </w:r>
      <w:proofErr w:type="gramStart"/>
      <w:r w:rsidRPr="004D6FCA">
        <w:t>Ibid, 28.</w:t>
      </w:r>
      <w:proofErr w:type="gramEnd"/>
    </w:p>
  </w:footnote>
  <w:footnote w:id="15">
    <w:p w:rsidR="006B5926" w:rsidRDefault="006B5926" w:rsidP="00231A7B">
      <w:pPr>
        <w:pStyle w:val="FootnoteText"/>
        <w:ind w:left="709" w:hanging="709"/>
      </w:pPr>
      <w:r>
        <w:rPr>
          <w:rStyle w:val="FootnoteReference"/>
        </w:rPr>
        <w:footnoteRef/>
      </w:r>
      <w:r>
        <w:t xml:space="preserve"> </w:t>
      </w:r>
      <w:r>
        <w:tab/>
        <w:t xml:space="preserve">Australian Bureau of Statistics, </w:t>
      </w:r>
      <w:r w:rsidRPr="00512A51">
        <w:rPr>
          <w:i/>
        </w:rPr>
        <w:t>Labour Force Australia</w:t>
      </w:r>
      <w:r w:rsidRPr="004530AD">
        <w:rPr>
          <w:i/>
        </w:rPr>
        <w:t>, September 2015</w:t>
      </w:r>
      <w:r>
        <w:t xml:space="preserve"> (Cat No. 6202.0 released 15 October 2015) Table 22.</w:t>
      </w:r>
    </w:p>
  </w:footnote>
  <w:footnote w:id="16">
    <w:p w:rsidR="006B5926" w:rsidRDefault="006B5926" w:rsidP="00231A7B">
      <w:pPr>
        <w:pStyle w:val="FootnoteText"/>
        <w:ind w:left="709" w:hanging="709"/>
      </w:pPr>
      <w:r>
        <w:rPr>
          <w:rStyle w:val="FootnoteReference"/>
        </w:rPr>
        <w:footnoteRef/>
      </w:r>
      <w:r>
        <w:t xml:space="preserve"> </w:t>
      </w:r>
      <w:r>
        <w:tab/>
      </w:r>
      <w:proofErr w:type="gramStart"/>
      <w:r>
        <w:t xml:space="preserve">Australian Human Rights Commission, </w:t>
      </w:r>
      <w:r w:rsidRPr="00442798">
        <w:rPr>
          <w:i/>
        </w:rPr>
        <w:t>National prevalence survey of age discrimination in the workplace</w:t>
      </w:r>
      <w:r>
        <w:t xml:space="preserve"> (2015) 49.</w:t>
      </w:r>
      <w:proofErr w:type="gramEnd"/>
    </w:p>
  </w:footnote>
  <w:footnote w:id="17">
    <w:p w:rsidR="006B5926" w:rsidRDefault="006B5926" w:rsidP="00231A7B">
      <w:pPr>
        <w:pStyle w:val="FootnoteText"/>
        <w:ind w:left="709" w:hanging="709"/>
      </w:pPr>
      <w:r>
        <w:rPr>
          <w:rStyle w:val="FootnoteReference"/>
        </w:rPr>
        <w:footnoteRef/>
      </w:r>
      <w:r>
        <w:t xml:space="preserve"> </w:t>
      </w:r>
      <w:r>
        <w:tab/>
      </w:r>
      <w:proofErr w:type="gramStart"/>
      <w:r>
        <w:t xml:space="preserve">Australian Bureau of Statistics, </w:t>
      </w:r>
      <w:r w:rsidRPr="004017CF">
        <w:rPr>
          <w:i/>
        </w:rPr>
        <w:t xml:space="preserve">Persons Not in the Labour </w:t>
      </w:r>
      <w:r>
        <w:rPr>
          <w:i/>
        </w:rPr>
        <w:t>Force, Australia September 1996–</w:t>
      </w:r>
      <w:r w:rsidRPr="004017CF">
        <w:rPr>
          <w:i/>
        </w:rPr>
        <w:t>2010</w:t>
      </w:r>
      <w:r>
        <w:t>, (Cat No. 6220.0).</w:t>
      </w:r>
      <w:proofErr w:type="gramEnd"/>
    </w:p>
  </w:footnote>
  <w:footnote w:id="18">
    <w:p w:rsidR="006B5926" w:rsidRDefault="006B5926" w:rsidP="00231A7B">
      <w:pPr>
        <w:pStyle w:val="FootnoteText"/>
        <w:ind w:left="709" w:hanging="709"/>
      </w:pPr>
      <w:r>
        <w:rPr>
          <w:rStyle w:val="FootnoteReference"/>
        </w:rPr>
        <w:footnoteRef/>
      </w:r>
      <w:r>
        <w:t xml:space="preserve"> </w:t>
      </w:r>
      <w:r>
        <w:tab/>
      </w:r>
      <w:proofErr w:type="gramStart"/>
      <w:r>
        <w:t xml:space="preserve">George </w:t>
      </w:r>
      <w:proofErr w:type="spellStart"/>
      <w:r>
        <w:t>Leakis</w:t>
      </w:r>
      <w:proofErr w:type="spellEnd"/>
      <w:r>
        <w:t xml:space="preserve"> ‘Hockey’s plan to make us work longer won’t work’ </w:t>
      </w:r>
      <w:r w:rsidRPr="00C005F6">
        <w:rPr>
          <w:i/>
        </w:rPr>
        <w:t>The New Daily</w:t>
      </w:r>
      <w:r>
        <w:t xml:space="preserve"> (online) July 23 2015 &lt;</w:t>
      </w:r>
      <w:hyperlink r:id="rId3" w:history="1">
        <w:r w:rsidRPr="005455C3">
          <w:rPr>
            <w:rStyle w:val="Hyperlink"/>
          </w:rPr>
          <w:t>http://thenewdaily.com.au/money/2015/07/23/hockeys-plan-make-us-work-longer-wont-work/</w:t>
        </w:r>
      </w:hyperlink>
      <w:r>
        <w:t>&gt;.</w:t>
      </w:r>
      <w:proofErr w:type="gramEnd"/>
      <w:r>
        <w:t xml:space="preserve"> </w:t>
      </w:r>
    </w:p>
  </w:footnote>
  <w:footnote w:id="19">
    <w:p w:rsidR="006B5926" w:rsidRDefault="006B5926" w:rsidP="00231A7B">
      <w:pPr>
        <w:pStyle w:val="FootnoteText"/>
        <w:ind w:left="709" w:hanging="709"/>
      </w:pPr>
      <w:r>
        <w:rPr>
          <w:rStyle w:val="FootnoteReference"/>
        </w:rPr>
        <w:footnoteRef/>
      </w:r>
      <w:r>
        <w:t xml:space="preserve"> </w:t>
      </w:r>
      <w:r>
        <w:tab/>
        <w:t xml:space="preserve">Australian Law Reform Commission, </w:t>
      </w:r>
      <w:r w:rsidRPr="001668A9">
        <w:rPr>
          <w:i/>
        </w:rPr>
        <w:t xml:space="preserve">Access All Ages – Older Workers and Commonwealth Laws: Final Report </w:t>
      </w:r>
      <w:r>
        <w:t>(ALRC Report 120, 2013) 76.</w:t>
      </w:r>
    </w:p>
  </w:footnote>
  <w:footnote w:id="20">
    <w:p w:rsidR="006B5926" w:rsidRDefault="006B5926" w:rsidP="002C36BE">
      <w:pPr>
        <w:pStyle w:val="FootnoteText"/>
        <w:ind w:left="709" w:hanging="709"/>
      </w:pPr>
      <w:r>
        <w:rPr>
          <w:rStyle w:val="FootnoteReference"/>
        </w:rPr>
        <w:footnoteRef/>
      </w:r>
      <w:r>
        <w:t xml:space="preserve"> </w:t>
      </w:r>
      <w:r>
        <w:tab/>
      </w:r>
      <w:proofErr w:type="spellStart"/>
      <w:r>
        <w:t>WorkCover</w:t>
      </w:r>
      <w:proofErr w:type="spellEnd"/>
      <w:r>
        <w:t xml:space="preserve"> Tasmania, </w:t>
      </w:r>
      <w:r w:rsidRPr="0078666C">
        <w:rPr>
          <w:i/>
        </w:rPr>
        <w:t>Safe and Healthy: a guide to managing an ageing workforce</w:t>
      </w:r>
      <w:r>
        <w:t xml:space="preserve"> (</w:t>
      </w:r>
      <w:proofErr w:type="spellStart"/>
      <w:r>
        <w:t>WorkCover</w:t>
      </w:r>
      <w:proofErr w:type="spellEnd"/>
      <w:r>
        <w:t xml:space="preserve"> Tasmania, September 2013).</w:t>
      </w:r>
    </w:p>
  </w:footnote>
  <w:footnote w:id="21">
    <w:p w:rsidR="006B5926" w:rsidRDefault="006B5926" w:rsidP="00231A7B">
      <w:pPr>
        <w:pStyle w:val="FootnoteText"/>
        <w:ind w:left="709" w:hanging="709"/>
      </w:pPr>
      <w:r>
        <w:rPr>
          <w:rStyle w:val="FootnoteReference"/>
        </w:rPr>
        <w:footnoteRef/>
      </w:r>
      <w:r>
        <w:t xml:space="preserve"> </w:t>
      </w:r>
      <w:r>
        <w:tab/>
        <w:t xml:space="preserve">See Australian Law Reform Commission, </w:t>
      </w:r>
      <w:r w:rsidRPr="0037785D">
        <w:rPr>
          <w:i/>
        </w:rPr>
        <w:t>Access all Ages – Older Workers and Commonwealth Laws</w:t>
      </w:r>
      <w:r>
        <w:t xml:space="preserve"> (ALRC Report No. 20, March 2013) 86.</w:t>
      </w:r>
    </w:p>
  </w:footnote>
  <w:footnote w:id="22">
    <w:p w:rsidR="006B5926" w:rsidRDefault="006B5926" w:rsidP="00231A7B">
      <w:pPr>
        <w:pStyle w:val="FootnoteText"/>
        <w:ind w:left="709" w:hanging="709"/>
      </w:pPr>
      <w:r>
        <w:rPr>
          <w:rStyle w:val="FootnoteReference"/>
        </w:rPr>
        <w:footnoteRef/>
      </w:r>
      <w:r>
        <w:t xml:space="preserve"> </w:t>
      </w:r>
      <w:r>
        <w:tab/>
      </w:r>
      <w:proofErr w:type="gramStart"/>
      <w:r>
        <w:t>Ibid, 90.</w:t>
      </w:r>
      <w:proofErr w:type="gramEnd"/>
    </w:p>
  </w:footnote>
  <w:footnote w:id="23">
    <w:p w:rsidR="006B5926" w:rsidRDefault="006B5926" w:rsidP="00231A7B">
      <w:pPr>
        <w:pStyle w:val="FootnoteText"/>
        <w:ind w:left="709" w:hanging="709"/>
      </w:pPr>
      <w:r>
        <w:rPr>
          <w:rStyle w:val="FootnoteReference"/>
        </w:rPr>
        <w:footnoteRef/>
      </w:r>
      <w:r>
        <w:t xml:space="preserve"> </w:t>
      </w:r>
      <w:r>
        <w:tab/>
      </w:r>
      <w:proofErr w:type="gramStart"/>
      <w:r>
        <w:t>Ibid, 92.</w:t>
      </w:r>
      <w:proofErr w:type="gramEnd"/>
    </w:p>
  </w:footnote>
  <w:footnote w:id="24">
    <w:p w:rsidR="006B5926" w:rsidRDefault="006B5926" w:rsidP="00C005F6">
      <w:pPr>
        <w:pStyle w:val="FootnoteText"/>
        <w:ind w:left="709" w:hanging="709"/>
      </w:pPr>
      <w:r>
        <w:rPr>
          <w:rStyle w:val="FootnoteReference"/>
        </w:rPr>
        <w:footnoteRef/>
      </w:r>
      <w:r>
        <w:t xml:space="preserve"> </w:t>
      </w:r>
      <w:r>
        <w:tab/>
        <w:t xml:space="preserve">Safe Work Australia, </w:t>
      </w:r>
      <w:r w:rsidRPr="009A0CE3">
        <w:rPr>
          <w:i/>
        </w:rPr>
        <w:t xml:space="preserve">Comparison of workers’ compensation arrangements in Australia and New Zealand </w:t>
      </w:r>
      <w:r>
        <w:t>(July 2015)</w:t>
      </w:r>
    </w:p>
  </w:footnote>
  <w:footnote w:id="25">
    <w:p w:rsidR="006B5926" w:rsidRDefault="006B5926" w:rsidP="00C005F6">
      <w:pPr>
        <w:pStyle w:val="FootnoteText"/>
        <w:ind w:left="709" w:hanging="709"/>
      </w:pPr>
      <w:r>
        <w:rPr>
          <w:rStyle w:val="FootnoteReference"/>
        </w:rPr>
        <w:footnoteRef/>
      </w:r>
      <w:r>
        <w:t xml:space="preserve"> </w:t>
      </w:r>
      <w:r>
        <w:tab/>
        <w:t xml:space="preserve">Anti-Discrimination Commissioner (Tas) </w:t>
      </w:r>
      <w:r w:rsidRPr="00590365">
        <w:rPr>
          <w:i/>
        </w:rPr>
        <w:t xml:space="preserve">Volunteers, Age and Insurance: Investigation Report </w:t>
      </w:r>
      <w:r>
        <w:t>(OADC, May 2013)</w:t>
      </w:r>
    </w:p>
  </w:footnote>
  <w:footnote w:id="26">
    <w:p w:rsidR="006B5926" w:rsidRDefault="006B5926" w:rsidP="00C005F6">
      <w:pPr>
        <w:pStyle w:val="FootnoteText"/>
        <w:ind w:left="709" w:hanging="709"/>
      </w:pPr>
      <w:r>
        <w:rPr>
          <w:rStyle w:val="FootnoteReference"/>
        </w:rPr>
        <w:footnoteRef/>
      </w:r>
      <w:r>
        <w:t xml:space="preserve"> </w:t>
      </w:r>
      <w:r>
        <w:tab/>
      </w:r>
      <w:r w:rsidR="00707FAB">
        <w:t xml:space="preserve">Ibid, </w:t>
      </w:r>
      <w:r>
        <w:t>94</w:t>
      </w:r>
    </w:p>
  </w:footnote>
  <w:footnote w:id="27">
    <w:p w:rsidR="006B5926" w:rsidRDefault="006B5926">
      <w:pPr>
        <w:pStyle w:val="FootnoteText"/>
      </w:pPr>
      <w:r>
        <w:rPr>
          <w:rStyle w:val="FootnoteReference"/>
        </w:rPr>
        <w:footnoteRef/>
      </w:r>
      <w:r>
        <w:t xml:space="preserve"> </w:t>
      </w:r>
      <w:r>
        <w:tab/>
        <w:t>Enquiry data relates to all age-related enquiries.</w:t>
      </w:r>
    </w:p>
  </w:footnote>
  <w:footnote w:id="28">
    <w:p w:rsidR="006B5926" w:rsidRDefault="006B5926" w:rsidP="00B83B1B">
      <w:pPr>
        <w:pStyle w:val="FootnoteText"/>
        <w:ind w:left="709" w:hanging="709"/>
      </w:pPr>
      <w:r>
        <w:rPr>
          <w:rStyle w:val="FootnoteReference"/>
        </w:rPr>
        <w:footnoteRef/>
      </w:r>
      <w:r>
        <w:t xml:space="preserve"> </w:t>
      </w:r>
      <w:r>
        <w:tab/>
        <w:t xml:space="preserve">Age related complaints: 2005–06 (n=16, 14.4%); 2006-07 (n=27, 23.5%); 2007–08 (n=20, 17.1%); </w:t>
      </w:r>
      <w:r>
        <w:br/>
        <w:t xml:space="preserve">2008–09 (n=31, 24.2%); 2009–10 (n=16, 14.0%); 2010–11 (n=20, 12.6%); 2011–12 (n=15, 11.3%); </w:t>
      </w:r>
      <w:r>
        <w:br/>
        <w:t>2012–13 (n=21, 13.2%); 2013–14 (n=22, 12.2%); 2014–15 (n=17, 12.0%).</w:t>
      </w:r>
    </w:p>
  </w:footnote>
  <w:footnote w:id="29">
    <w:p w:rsidR="006B5926" w:rsidRDefault="006B5926" w:rsidP="00B83B1B">
      <w:pPr>
        <w:pStyle w:val="FootnoteText"/>
        <w:ind w:left="709" w:hanging="709"/>
      </w:pPr>
      <w:r>
        <w:rPr>
          <w:rStyle w:val="FootnoteReference"/>
        </w:rPr>
        <w:footnoteRef/>
      </w:r>
      <w:r>
        <w:t xml:space="preserve"> </w:t>
      </w:r>
      <w:r>
        <w:tab/>
        <w:t>Percentage of complaints received identifying employment as an issue in the complaint in 2012–13 = 44.0%; 2013–14 = 49.1%; 2014–15 = 45.4%.</w:t>
      </w:r>
    </w:p>
  </w:footnote>
  <w:footnote w:id="30">
    <w:p w:rsidR="006B5926" w:rsidRDefault="006B5926" w:rsidP="007A7489">
      <w:pPr>
        <w:pStyle w:val="FootnoteText"/>
        <w:ind w:left="709" w:hanging="709"/>
      </w:pPr>
      <w:r>
        <w:rPr>
          <w:rStyle w:val="FootnoteReference"/>
        </w:rPr>
        <w:footnoteRef/>
      </w:r>
      <w:r>
        <w:t xml:space="preserve"> </w:t>
      </w:r>
      <w:r>
        <w:tab/>
        <w:t xml:space="preserve">European Commission, </w:t>
      </w:r>
      <w:r w:rsidRPr="007A7489">
        <w:rPr>
          <w:i/>
        </w:rPr>
        <w:t xml:space="preserve">EEO Review: Employment Policies to Promote Active Ageing 2012 </w:t>
      </w:r>
      <w:r>
        <w:t>(Directorate-General for Employment, Social Affairs and Inclusion, April 2012).</w:t>
      </w:r>
    </w:p>
  </w:footnote>
  <w:footnote w:id="31">
    <w:p w:rsidR="006B5926" w:rsidRDefault="006B5926" w:rsidP="0098381A">
      <w:pPr>
        <w:pStyle w:val="FootnoteText"/>
        <w:ind w:left="709" w:hanging="709"/>
      </w:pPr>
      <w:r>
        <w:rPr>
          <w:rStyle w:val="FootnoteReference"/>
        </w:rPr>
        <w:footnoteRef/>
      </w:r>
      <w:r>
        <w:t xml:space="preserve"> </w:t>
      </w:r>
      <w:r>
        <w:tab/>
      </w:r>
      <w:proofErr w:type="gramStart"/>
      <w:r>
        <w:t>Ibid, 19.</w:t>
      </w:r>
      <w:proofErr w:type="gramEnd"/>
    </w:p>
  </w:footnote>
  <w:footnote w:id="32">
    <w:p w:rsidR="006B5926" w:rsidRDefault="006B5926" w:rsidP="00621208">
      <w:pPr>
        <w:pStyle w:val="FootnoteText"/>
        <w:ind w:left="709" w:hanging="709"/>
      </w:pPr>
      <w:r>
        <w:rPr>
          <w:rStyle w:val="FootnoteReference"/>
        </w:rPr>
        <w:footnoteRef/>
      </w:r>
      <w:r>
        <w:t xml:space="preserve"> </w:t>
      </w:r>
      <w:r>
        <w:tab/>
      </w:r>
      <w:r w:rsidRPr="0098381A">
        <w:t>Sabrina Pit, ‘Sustainable employment and the ageing workforce: lessons learned from the Dutch’ (</w:t>
      </w:r>
      <w:r w:rsidRPr="0098381A">
        <w:rPr>
          <w:i/>
        </w:rPr>
        <w:t>The Conversation</w:t>
      </w:r>
      <w:r w:rsidRPr="0098381A">
        <w:t>) 15 January 2013.</w:t>
      </w:r>
    </w:p>
  </w:footnote>
  <w:footnote w:id="33">
    <w:p w:rsidR="006B5926" w:rsidRDefault="006B5926" w:rsidP="00621208">
      <w:pPr>
        <w:pStyle w:val="FootnoteText"/>
        <w:ind w:left="709" w:hanging="709"/>
      </w:pPr>
      <w:r>
        <w:rPr>
          <w:rStyle w:val="FootnoteReference"/>
        </w:rPr>
        <w:footnoteRef/>
      </w:r>
      <w:r>
        <w:t xml:space="preserve"> </w:t>
      </w:r>
      <w:r>
        <w:tab/>
        <w:t xml:space="preserve">European Commission, </w:t>
      </w:r>
      <w:r w:rsidRPr="007A7489">
        <w:rPr>
          <w:i/>
        </w:rPr>
        <w:t xml:space="preserve">EEO Review: Employment Policies to Promote Active Ageing 2012 </w:t>
      </w:r>
      <w:r>
        <w:t>(Directorate-General for Employment, Social Affairs and Inclusion, April 2012) 19.</w:t>
      </w:r>
    </w:p>
  </w:footnote>
  <w:footnote w:id="34">
    <w:p w:rsidR="006B5926" w:rsidRDefault="006B5926" w:rsidP="0023304D">
      <w:pPr>
        <w:pStyle w:val="FootnoteText"/>
        <w:ind w:left="709" w:hanging="709"/>
      </w:pPr>
      <w:r>
        <w:rPr>
          <w:rStyle w:val="FootnoteReference"/>
        </w:rPr>
        <w:footnoteRef/>
      </w:r>
      <w:r>
        <w:t xml:space="preserve"> </w:t>
      </w:r>
      <w:r>
        <w:tab/>
      </w:r>
      <w:proofErr w:type="gramStart"/>
      <w:r>
        <w:t>Ibid, 20.</w:t>
      </w:r>
      <w:proofErr w:type="gramEnd"/>
    </w:p>
  </w:footnote>
  <w:footnote w:id="35">
    <w:p w:rsidR="006B5926" w:rsidRDefault="006B5926" w:rsidP="0023304D">
      <w:pPr>
        <w:pStyle w:val="FootnoteText"/>
        <w:ind w:left="709" w:hanging="709"/>
      </w:pPr>
      <w:r>
        <w:rPr>
          <w:rStyle w:val="FootnoteReference"/>
        </w:rPr>
        <w:footnoteRef/>
      </w:r>
      <w:r>
        <w:t xml:space="preserve"> </w:t>
      </w:r>
      <w:r>
        <w:tab/>
      </w:r>
      <w:proofErr w:type="gramStart"/>
      <w:r>
        <w:t>Ibid, 20.</w:t>
      </w:r>
      <w:proofErr w:type="gramEnd"/>
    </w:p>
  </w:footnote>
  <w:footnote w:id="36">
    <w:p w:rsidR="006B5926" w:rsidRDefault="006B5926" w:rsidP="005065F9">
      <w:pPr>
        <w:pStyle w:val="FootnoteText"/>
        <w:ind w:left="709" w:hanging="709"/>
      </w:pPr>
      <w:r>
        <w:rPr>
          <w:rStyle w:val="FootnoteReference"/>
        </w:rPr>
        <w:footnoteRef/>
      </w:r>
      <w:r>
        <w:t xml:space="preserve"> </w:t>
      </w:r>
      <w:r>
        <w:tab/>
        <w:t>Australian Law Reform Commission</w:t>
      </w:r>
      <w:r w:rsidR="00083B26">
        <w:t>,</w:t>
      </w:r>
      <w:r>
        <w:t xml:space="preserve"> </w:t>
      </w:r>
      <w:r w:rsidR="00083B26">
        <w:t>above n </w:t>
      </w:r>
      <w:r w:rsidR="00083B26">
        <w:fldChar w:fldCharType="begin"/>
      </w:r>
      <w:r w:rsidR="00083B26">
        <w:instrText xml:space="preserve"> NOTEREF _Ref441923232 \h </w:instrText>
      </w:r>
      <w:r w:rsidR="00083B26">
        <w:fldChar w:fldCharType="separate"/>
      </w:r>
      <w:r w:rsidR="00083B26">
        <w:t>18</w:t>
      </w:r>
      <w:r w:rsidR="00083B26">
        <w:fldChar w:fldCharType="end"/>
      </w:r>
      <w:r w:rsidR="00083B26">
        <w:t xml:space="preserve">, </w:t>
      </w:r>
      <w:r>
        <w:t>86</w:t>
      </w:r>
      <w:r w:rsidR="00083B26">
        <w:t>.</w:t>
      </w:r>
    </w:p>
  </w:footnote>
  <w:footnote w:id="37">
    <w:p w:rsidR="006B5926" w:rsidRDefault="006B5926" w:rsidP="00C005F6">
      <w:pPr>
        <w:pStyle w:val="FootnoteText"/>
        <w:ind w:left="709" w:hanging="709"/>
      </w:pPr>
      <w:r>
        <w:rPr>
          <w:rStyle w:val="FootnoteReference"/>
        </w:rPr>
        <w:footnoteRef/>
      </w:r>
      <w:r>
        <w:t xml:space="preserve"> </w:t>
      </w:r>
      <w:r>
        <w:tab/>
      </w:r>
      <w:proofErr w:type="gramStart"/>
      <w:r w:rsidR="00083B26">
        <w:t xml:space="preserve">Ibid, </w:t>
      </w:r>
      <w:r>
        <w:t>92</w:t>
      </w:r>
      <w:r w:rsidR="00083B26">
        <w:t>.</w:t>
      </w:r>
      <w:proofErr w:type="gramEnd"/>
    </w:p>
  </w:footnote>
  <w:footnote w:id="38">
    <w:p w:rsidR="006B5926" w:rsidRDefault="006B5926" w:rsidP="006C4C45">
      <w:pPr>
        <w:pStyle w:val="FootnoteText"/>
        <w:ind w:left="709" w:hanging="709"/>
      </w:pPr>
      <w:r>
        <w:rPr>
          <w:rStyle w:val="FootnoteReference"/>
        </w:rPr>
        <w:footnoteRef/>
      </w:r>
      <w:r>
        <w:t xml:space="preserve"> </w:t>
      </w:r>
      <w:r>
        <w:tab/>
        <w:t xml:space="preserve">See Australian Law Reform Commission, </w:t>
      </w:r>
      <w:r w:rsidRPr="00C005F6">
        <w:rPr>
          <w:i/>
        </w:rPr>
        <w:t xml:space="preserve">Access all Ages – Older Workers and Commonwealth Laws </w:t>
      </w:r>
      <w:r>
        <w:t>(ALRC Report No. 20, Ma</w:t>
      </w:r>
      <w:r w:rsidR="00A13D6D">
        <w:t>rch 2013) 80–</w:t>
      </w:r>
      <w:r>
        <w:t>1</w:t>
      </w:r>
      <w:r w:rsidR="00A13D6D">
        <w:t>.</w:t>
      </w:r>
    </w:p>
  </w:footnote>
  <w:footnote w:id="39">
    <w:p w:rsidR="006B5926" w:rsidRDefault="006B5926" w:rsidP="00C005F6">
      <w:pPr>
        <w:pStyle w:val="FootnoteText"/>
        <w:ind w:left="709" w:hanging="709"/>
      </w:pPr>
      <w:r>
        <w:rPr>
          <w:rStyle w:val="FootnoteReference"/>
        </w:rPr>
        <w:footnoteRef/>
      </w:r>
      <w:r>
        <w:t xml:space="preserve"> </w:t>
      </w:r>
      <w:r>
        <w:tab/>
      </w:r>
      <w:proofErr w:type="gramStart"/>
      <w:r>
        <w:t>Council of the Ageing (Tasmania)</w:t>
      </w:r>
      <w:r w:rsidR="00083B26">
        <w:t>, above n </w:t>
      </w:r>
      <w:r w:rsidR="00083B26">
        <w:fldChar w:fldCharType="begin"/>
      </w:r>
      <w:r w:rsidR="00083B26">
        <w:instrText xml:space="preserve"> NOTEREF _Ref441923417 \h </w:instrText>
      </w:r>
      <w:r w:rsidR="00083B26">
        <w:fldChar w:fldCharType="separate"/>
      </w:r>
      <w:r w:rsidR="00083B26">
        <w:t>3</w:t>
      </w:r>
      <w:r w:rsidR="00083B26">
        <w:fldChar w:fldCharType="end"/>
      </w:r>
      <w:r w:rsidR="00083B26">
        <w:t>,</w:t>
      </w:r>
      <w:r>
        <w:t xml:space="preserve"> 35.</w:t>
      </w:r>
      <w:proofErr w:type="gramEnd"/>
    </w:p>
  </w:footnote>
  <w:footnote w:id="40">
    <w:p w:rsidR="006B5926" w:rsidRDefault="006B5926" w:rsidP="00C005F6">
      <w:pPr>
        <w:pStyle w:val="FootnoteText"/>
        <w:ind w:left="709" w:hanging="709"/>
      </w:pPr>
      <w:r>
        <w:rPr>
          <w:rStyle w:val="FootnoteReference"/>
        </w:rPr>
        <w:footnoteRef/>
      </w:r>
      <w:r>
        <w:t xml:space="preserve"> </w:t>
      </w:r>
      <w:r>
        <w:tab/>
        <w:t>Ibid</w:t>
      </w:r>
      <w:r w:rsidR="00083B26">
        <w:t>.</w:t>
      </w:r>
    </w:p>
  </w:footnote>
  <w:footnote w:id="41">
    <w:p w:rsidR="006B5926" w:rsidRDefault="006B5926" w:rsidP="00F55873">
      <w:pPr>
        <w:pStyle w:val="FootnoteText"/>
        <w:ind w:left="709" w:hanging="709"/>
      </w:pPr>
      <w:r>
        <w:rPr>
          <w:rStyle w:val="FootnoteReference"/>
        </w:rPr>
        <w:footnoteRef/>
      </w:r>
      <w:r>
        <w:t xml:space="preserve"> </w:t>
      </w:r>
      <w:r>
        <w:tab/>
        <w:t>Workplace Gender Equality Agency</w:t>
      </w:r>
      <w:r w:rsidR="00083B26">
        <w:t>,</w:t>
      </w:r>
      <w:r>
        <w:t xml:space="preserve"> ‘Pay gap leads to 19.3% annual super contribution shortfall for full-time women’ (Media Release, 4 December 2015) </w:t>
      </w:r>
      <w:r w:rsidR="00083B26">
        <w:t>&lt;</w:t>
      </w:r>
      <w:hyperlink r:id="rId4" w:history="1">
        <w:r w:rsidR="00083B26" w:rsidRPr="005455C3">
          <w:rPr>
            <w:rStyle w:val="Hyperlink"/>
          </w:rPr>
          <w:t>https://www.wgea.gov.au/sites/default/files/20151204_MR_superpaygap.pdf</w:t>
        </w:r>
      </w:hyperlink>
      <w:r w:rsidR="00083B26">
        <w:t xml:space="preserve">&gt;.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26" w:rsidRDefault="006B5926">
    <w:pPr>
      <w:pStyle w:val="Header"/>
    </w:pPr>
    <w:r>
      <w:rPr>
        <w:noProof/>
      </w:rPr>
      <w:drawing>
        <wp:anchor distT="0" distB="0" distL="114300" distR="114300" simplePos="0" relativeHeight="251659264" behindDoc="0" locked="0" layoutInCell="1" allowOverlap="1" wp14:anchorId="2E584FF3" wp14:editId="0CFFFC5D">
          <wp:simplePos x="0" y="0"/>
          <wp:positionH relativeFrom="column">
            <wp:posOffset>19050</wp:posOffset>
          </wp:positionH>
          <wp:positionV relativeFrom="paragraph">
            <wp:posOffset>55245</wp:posOffset>
          </wp:positionV>
          <wp:extent cx="5930576" cy="11160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0576" cy="111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26" w:rsidRDefault="006B5926">
    <w:pPr>
      <w:pStyle w:val="Header"/>
    </w:pPr>
    <w:r w:rsidRPr="00311254">
      <w:rPr>
        <w:noProof/>
      </w:rPr>
      <w:drawing>
        <wp:anchor distT="0" distB="0" distL="114300" distR="114300" simplePos="0" relativeHeight="251663360" behindDoc="0" locked="0" layoutInCell="1" allowOverlap="1" wp14:anchorId="6E66D08B" wp14:editId="795B56E9">
          <wp:simplePos x="0" y="0"/>
          <wp:positionH relativeFrom="column">
            <wp:posOffset>9525</wp:posOffset>
          </wp:positionH>
          <wp:positionV relativeFrom="paragraph">
            <wp:posOffset>158115</wp:posOffset>
          </wp:positionV>
          <wp:extent cx="6299200" cy="444780"/>
          <wp:effectExtent l="0" t="0" r="0" b="0"/>
          <wp:wrapNone/>
          <wp:docPr id="3" name="Picture 3"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26" w:rsidRDefault="006B5926">
    <w:pPr>
      <w:pStyle w:val="Header"/>
    </w:pPr>
    <w:r w:rsidRPr="00311254">
      <w:rPr>
        <w:noProof/>
      </w:rPr>
      <w:drawing>
        <wp:anchor distT="0" distB="0" distL="114300" distR="114300" simplePos="0" relativeHeight="251665408" behindDoc="0" locked="0" layoutInCell="1" allowOverlap="1" wp14:anchorId="7C4CA5E7" wp14:editId="23859B09">
          <wp:simplePos x="0" y="0"/>
          <wp:positionH relativeFrom="column">
            <wp:posOffset>9525</wp:posOffset>
          </wp:positionH>
          <wp:positionV relativeFrom="paragraph">
            <wp:posOffset>158115</wp:posOffset>
          </wp:positionV>
          <wp:extent cx="6299200" cy="444780"/>
          <wp:effectExtent l="0" t="0" r="0" b="0"/>
          <wp:wrapNone/>
          <wp:docPr id="7" name="Picture 7"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910"/>
    <w:multiLevelType w:val="multilevel"/>
    <w:tmpl w:val="C0A03756"/>
    <w:lvl w:ilvl="0">
      <w:start w:val="1"/>
      <w:numFmt w:val="decimal"/>
      <w:lvlText w:val="%1."/>
      <w:lvlJc w:val="left"/>
      <w:pPr>
        <w:ind w:left="1135" w:hanging="567"/>
      </w:pPr>
      <w:rPr>
        <w:rFonts w:hint="default"/>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isLgl/>
      <w:lvlText w:val="(%4)"/>
      <w:lvlJc w:val="left"/>
      <w:pPr>
        <w:ind w:left="1080" w:hanging="720"/>
      </w:pPr>
      <w:rPr>
        <w:rFonts w:ascii="Arial" w:eastAsia="Times New Roman" w:hAnsi="Arial" w:cs="Arial"/>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B90A8A"/>
    <w:multiLevelType w:val="hybridMultilevel"/>
    <w:tmpl w:val="09CE8BF6"/>
    <w:lvl w:ilvl="0" w:tplc="31E2252A">
      <w:start w:val="1"/>
      <w:numFmt w:val="decimal"/>
      <w:lvlText w:val="%1)"/>
      <w:lvlJc w:val="left"/>
      <w:pPr>
        <w:ind w:left="5322"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601548D"/>
    <w:multiLevelType w:val="hybridMultilevel"/>
    <w:tmpl w:val="F9E6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A27772"/>
    <w:multiLevelType w:val="hybridMultilevel"/>
    <w:tmpl w:val="F89E8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123C2D"/>
    <w:multiLevelType w:val="hybridMultilevel"/>
    <w:tmpl w:val="8880F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046B57"/>
    <w:multiLevelType w:val="hybridMultilevel"/>
    <w:tmpl w:val="8242BDEE"/>
    <w:lvl w:ilvl="0" w:tplc="E21E51F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297047D"/>
    <w:multiLevelType w:val="hybridMultilevel"/>
    <w:tmpl w:val="D0CCA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E80171"/>
    <w:multiLevelType w:val="hybridMultilevel"/>
    <w:tmpl w:val="C3F648D4"/>
    <w:lvl w:ilvl="0" w:tplc="76703FE8">
      <w:start w:val="1"/>
      <w:numFmt w:val="decimal"/>
      <w:lvlText w:val="%1"/>
      <w:lvlJc w:val="left"/>
      <w:pPr>
        <w:ind w:left="7590" w:hanging="360"/>
      </w:pPr>
      <w:rPr>
        <w:rFonts w:hint="default"/>
        <w:b w:val="0"/>
        <w:i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start w:val="1"/>
      <w:numFmt w:val="decimal"/>
      <w:pStyle w:val="Recommendationhead"/>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9">
    <w:nsid w:val="45FB646B"/>
    <w:multiLevelType w:val="hybridMultilevel"/>
    <w:tmpl w:val="35209478"/>
    <w:lvl w:ilvl="0" w:tplc="645CAC7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9A21390"/>
    <w:multiLevelType w:val="hybridMultilevel"/>
    <w:tmpl w:val="3FC4ADC2"/>
    <w:lvl w:ilvl="0" w:tplc="7A5C7B32">
      <w:start w:val="1"/>
      <w:numFmt w:val="bullet"/>
      <w:lvlText w:val="="/>
      <w:lvlJc w:val="left"/>
      <w:pPr>
        <w:ind w:left="360" w:hanging="360"/>
      </w:pPr>
      <w:rPr>
        <w:rFonts w:ascii="Franklin Gothic Heavy" w:hAnsi="Franklin Gothic Heavy"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18F2AB1"/>
    <w:multiLevelType w:val="hybridMultilevel"/>
    <w:tmpl w:val="EB7EC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920C3B"/>
    <w:multiLevelType w:val="hybridMultilevel"/>
    <w:tmpl w:val="5BF646F4"/>
    <w:lvl w:ilvl="0" w:tplc="55E81284">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nsid w:val="5CD815ED"/>
    <w:multiLevelType w:val="multilevel"/>
    <w:tmpl w:val="75106C66"/>
    <w:lvl w:ilvl="0">
      <w:start w:val="1"/>
      <w:numFmt w:val="decimal"/>
      <w:isLgl/>
      <w:lvlText w:val="%1."/>
      <w:lvlJc w:val="left"/>
      <w:pPr>
        <w:ind w:left="1134" w:hanging="1134"/>
      </w:pPr>
      <w:rPr>
        <w:rFonts w:hint="default"/>
      </w:rPr>
    </w:lvl>
    <w:lvl w:ilvl="1">
      <w:start w:val="1"/>
      <w:numFmt w:val="lowerLetter"/>
      <w:isLgl/>
      <w:lvlText w:val="%1.%2"/>
      <w:lvlJc w:val="left"/>
      <w:pPr>
        <w:tabs>
          <w:tab w:val="num" w:pos="5103"/>
        </w:tabs>
        <w:ind w:left="1134" w:hanging="1134"/>
      </w:pPr>
      <w:rPr>
        <w:rFonts w:hint="default"/>
      </w:rPr>
    </w:lvl>
    <w:lvl w:ilvl="2">
      <w:start w:val="1"/>
      <w:numFmt w:val="decimal"/>
      <w:suff w:val="space"/>
      <w:lvlText w:val="Review question %3: "/>
      <w:lvlJc w:val="left"/>
      <w:pPr>
        <w:ind w:left="198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Recommendation %4"/>
      <w:lvlJc w:val="left"/>
      <w:pPr>
        <w:ind w:left="0" w:firstLine="0"/>
      </w:pPr>
      <w:rPr>
        <w:rFonts w:hint="default"/>
      </w:rPr>
    </w:lvl>
    <w:lvl w:ilvl="4">
      <w:start w:val="1"/>
      <w:numFmt w:val="decimal"/>
      <w:lvlText w:val="(%5)"/>
      <w:lvlJc w:val="left"/>
      <w:pPr>
        <w:ind w:left="396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DF24CB3"/>
    <w:multiLevelType w:val="hybridMultilevel"/>
    <w:tmpl w:val="063ECBE0"/>
    <w:lvl w:ilvl="0" w:tplc="F5E6036A">
      <w:start w:val="1"/>
      <w:numFmt w:val="bullet"/>
      <w:lvlText w:val=""/>
      <w:lvlJc w:val="left"/>
      <w:pPr>
        <w:ind w:left="-1206" w:hanging="360"/>
      </w:pPr>
      <w:rPr>
        <w:rFonts w:ascii="Symbol" w:hAnsi="Symbol" w:hint="default"/>
      </w:rPr>
    </w:lvl>
    <w:lvl w:ilvl="1" w:tplc="0C090003" w:tentative="1">
      <w:start w:val="1"/>
      <w:numFmt w:val="bullet"/>
      <w:lvlText w:val="o"/>
      <w:lvlJc w:val="left"/>
      <w:pPr>
        <w:ind w:left="-486" w:hanging="360"/>
      </w:pPr>
      <w:rPr>
        <w:rFonts w:ascii="Courier New" w:hAnsi="Courier New" w:cs="Courier New" w:hint="default"/>
      </w:rPr>
    </w:lvl>
    <w:lvl w:ilvl="2" w:tplc="0C090005" w:tentative="1">
      <w:start w:val="1"/>
      <w:numFmt w:val="bullet"/>
      <w:lvlText w:val=""/>
      <w:lvlJc w:val="left"/>
      <w:pPr>
        <w:ind w:left="234" w:hanging="360"/>
      </w:pPr>
      <w:rPr>
        <w:rFonts w:ascii="Wingdings" w:hAnsi="Wingdings" w:hint="default"/>
      </w:rPr>
    </w:lvl>
    <w:lvl w:ilvl="3" w:tplc="0C090001" w:tentative="1">
      <w:start w:val="1"/>
      <w:numFmt w:val="bullet"/>
      <w:lvlText w:val=""/>
      <w:lvlJc w:val="left"/>
      <w:pPr>
        <w:ind w:left="954" w:hanging="360"/>
      </w:pPr>
      <w:rPr>
        <w:rFonts w:ascii="Symbol" w:hAnsi="Symbol" w:hint="default"/>
      </w:rPr>
    </w:lvl>
    <w:lvl w:ilvl="4" w:tplc="0C090003" w:tentative="1">
      <w:start w:val="1"/>
      <w:numFmt w:val="bullet"/>
      <w:lvlText w:val="o"/>
      <w:lvlJc w:val="left"/>
      <w:pPr>
        <w:ind w:left="1674" w:hanging="360"/>
      </w:pPr>
      <w:rPr>
        <w:rFonts w:ascii="Courier New" w:hAnsi="Courier New" w:cs="Courier New" w:hint="default"/>
      </w:rPr>
    </w:lvl>
    <w:lvl w:ilvl="5" w:tplc="0C090005" w:tentative="1">
      <w:start w:val="1"/>
      <w:numFmt w:val="bullet"/>
      <w:lvlText w:val=""/>
      <w:lvlJc w:val="left"/>
      <w:pPr>
        <w:ind w:left="2394" w:hanging="360"/>
      </w:pPr>
      <w:rPr>
        <w:rFonts w:ascii="Wingdings" w:hAnsi="Wingdings" w:hint="default"/>
      </w:rPr>
    </w:lvl>
    <w:lvl w:ilvl="6" w:tplc="0C090001" w:tentative="1">
      <w:start w:val="1"/>
      <w:numFmt w:val="bullet"/>
      <w:lvlText w:val=""/>
      <w:lvlJc w:val="left"/>
      <w:pPr>
        <w:ind w:left="3114" w:hanging="360"/>
      </w:pPr>
      <w:rPr>
        <w:rFonts w:ascii="Symbol" w:hAnsi="Symbol" w:hint="default"/>
      </w:rPr>
    </w:lvl>
    <w:lvl w:ilvl="7" w:tplc="0C090003" w:tentative="1">
      <w:start w:val="1"/>
      <w:numFmt w:val="bullet"/>
      <w:lvlText w:val="o"/>
      <w:lvlJc w:val="left"/>
      <w:pPr>
        <w:ind w:left="3834" w:hanging="360"/>
      </w:pPr>
      <w:rPr>
        <w:rFonts w:ascii="Courier New" w:hAnsi="Courier New" w:cs="Courier New" w:hint="default"/>
      </w:rPr>
    </w:lvl>
    <w:lvl w:ilvl="8" w:tplc="0C090005" w:tentative="1">
      <w:start w:val="1"/>
      <w:numFmt w:val="bullet"/>
      <w:lvlText w:val=""/>
      <w:lvlJc w:val="left"/>
      <w:pPr>
        <w:ind w:left="4554" w:hanging="360"/>
      </w:pPr>
      <w:rPr>
        <w:rFonts w:ascii="Wingdings" w:hAnsi="Wingdings" w:hint="default"/>
      </w:rPr>
    </w:lvl>
  </w:abstractNum>
  <w:abstractNum w:abstractNumId="15">
    <w:nsid w:val="640726FC"/>
    <w:multiLevelType w:val="hybridMultilevel"/>
    <w:tmpl w:val="AE3CA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BE2605"/>
    <w:multiLevelType w:val="hybridMultilevel"/>
    <w:tmpl w:val="947E355E"/>
    <w:lvl w:ilvl="0" w:tplc="CA0600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13"/>
  </w:num>
  <w:num w:numId="5">
    <w:abstractNumId w:val="13"/>
  </w:num>
  <w:num w:numId="6">
    <w:abstractNumId w:val="13"/>
  </w:num>
  <w:num w:numId="7">
    <w:abstractNumId w:val="13"/>
  </w:num>
  <w:num w:numId="8">
    <w:abstractNumId w:val="7"/>
  </w:num>
  <w:num w:numId="9">
    <w:abstractNumId w:val="13"/>
  </w:num>
  <w:num w:numId="10">
    <w:abstractNumId w:val="0"/>
  </w:num>
  <w:num w:numId="11">
    <w:abstractNumId w:val="0"/>
  </w:num>
  <w:num w:numId="12">
    <w:abstractNumId w:val="0"/>
  </w:num>
  <w:num w:numId="13">
    <w:abstractNumId w:val="13"/>
  </w:num>
  <w:num w:numId="14">
    <w:abstractNumId w:val="13"/>
  </w:num>
  <w:num w:numId="15">
    <w:abstractNumId w:val="13"/>
  </w:num>
  <w:num w:numId="16">
    <w:abstractNumId w:val="7"/>
  </w:num>
  <w:num w:numId="17">
    <w:abstractNumId w:val="13"/>
  </w:num>
  <w:num w:numId="18">
    <w:abstractNumId w:val="0"/>
  </w:num>
  <w:num w:numId="19">
    <w:abstractNumId w:val="0"/>
  </w:num>
  <w:num w:numId="20">
    <w:abstractNumId w:val="13"/>
  </w:num>
  <w:num w:numId="21">
    <w:abstractNumId w:val="13"/>
  </w:num>
  <w:num w:numId="22">
    <w:abstractNumId w:val="13"/>
  </w:num>
  <w:num w:numId="23">
    <w:abstractNumId w:val="7"/>
  </w:num>
  <w:num w:numId="24">
    <w:abstractNumId w:val="13"/>
  </w:num>
  <w:num w:numId="25">
    <w:abstractNumId w:val="3"/>
  </w:num>
  <w:num w:numId="26">
    <w:abstractNumId w:val="11"/>
  </w:num>
  <w:num w:numId="27">
    <w:abstractNumId w:val="2"/>
  </w:num>
  <w:num w:numId="28">
    <w:abstractNumId w:val="15"/>
  </w:num>
  <w:num w:numId="29">
    <w:abstractNumId w:val="5"/>
  </w:num>
  <w:num w:numId="30">
    <w:abstractNumId w:val="10"/>
  </w:num>
  <w:num w:numId="31">
    <w:abstractNumId w:val="8"/>
  </w:num>
  <w:num w:numId="32">
    <w:abstractNumId w:val="12"/>
  </w:num>
  <w:num w:numId="33">
    <w:abstractNumId w:val="1"/>
  </w:num>
  <w:num w:numId="34">
    <w:abstractNumId w:val="5"/>
  </w:num>
  <w:num w:numId="35">
    <w:abstractNumId w:val="10"/>
  </w:num>
  <w:num w:numId="36">
    <w:abstractNumId w:val="8"/>
  </w:num>
  <w:num w:numId="37">
    <w:abstractNumId w:val="12"/>
  </w:num>
  <w:num w:numId="38">
    <w:abstractNumId w:val="14"/>
  </w:num>
  <w:num w:numId="39">
    <w:abstractNumId w:val="4"/>
  </w:num>
  <w:num w:numId="40">
    <w:abstractNumId w:val="8"/>
  </w:num>
  <w:num w:numId="41">
    <w:abstractNumId w:val="16"/>
  </w:num>
  <w:num w:numId="42">
    <w:abstractNumId w:val="1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CE"/>
    <w:rsid w:val="000453D2"/>
    <w:rsid w:val="00047F28"/>
    <w:rsid w:val="00056B71"/>
    <w:rsid w:val="00061F44"/>
    <w:rsid w:val="00067A29"/>
    <w:rsid w:val="00083B26"/>
    <w:rsid w:val="00085AE0"/>
    <w:rsid w:val="00094928"/>
    <w:rsid w:val="00094FC7"/>
    <w:rsid w:val="000C4A13"/>
    <w:rsid w:val="000D6E5A"/>
    <w:rsid w:val="00102507"/>
    <w:rsid w:val="00104930"/>
    <w:rsid w:val="00124F81"/>
    <w:rsid w:val="0013413B"/>
    <w:rsid w:val="00153053"/>
    <w:rsid w:val="0015601A"/>
    <w:rsid w:val="00160CAA"/>
    <w:rsid w:val="00162ED5"/>
    <w:rsid w:val="001668A9"/>
    <w:rsid w:val="00191BA5"/>
    <w:rsid w:val="00230F8B"/>
    <w:rsid w:val="00231A7B"/>
    <w:rsid w:val="00231ECF"/>
    <w:rsid w:val="00232184"/>
    <w:rsid w:val="0023304D"/>
    <w:rsid w:val="00235C79"/>
    <w:rsid w:val="00271CCD"/>
    <w:rsid w:val="00272B7B"/>
    <w:rsid w:val="00276B61"/>
    <w:rsid w:val="00283B6E"/>
    <w:rsid w:val="002C36BE"/>
    <w:rsid w:val="002C5C4B"/>
    <w:rsid w:val="002C7357"/>
    <w:rsid w:val="002D158D"/>
    <w:rsid w:val="003043A8"/>
    <w:rsid w:val="003152B2"/>
    <w:rsid w:val="00325DFD"/>
    <w:rsid w:val="00342741"/>
    <w:rsid w:val="00345F84"/>
    <w:rsid w:val="003537DB"/>
    <w:rsid w:val="00367109"/>
    <w:rsid w:val="003722E0"/>
    <w:rsid w:val="003765EA"/>
    <w:rsid w:val="0037785D"/>
    <w:rsid w:val="00395412"/>
    <w:rsid w:val="004017CF"/>
    <w:rsid w:val="00411ACD"/>
    <w:rsid w:val="004149B3"/>
    <w:rsid w:val="00426413"/>
    <w:rsid w:val="00442798"/>
    <w:rsid w:val="0045037A"/>
    <w:rsid w:val="004530AD"/>
    <w:rsid w:val="00460734"/>
    <w:rsid w:val="00472D22"/>
    <w:rsid w:val="004762AA"/>
    <w:rsid w:val="004D0140"/>
    <w:rsid w:val="004D6FCA"/>
    <w:rsid w:val="004E5C53"/>
    <w:rsid w:val="004F0091"/>
    <w:rsid w:val="005026D4"/>
    <w:rsid w:val="0050478E"/>
    <w:rsid w:val="005065F9"/>
    <w:rsid w:val="0051125A"/>
    <w:rsid w:val="00512A51"/>
    <w:rsid w:val="00526BB5"/>
    <w:rsid w:val="00537BF8"/>
    <w:rsid w:val="00590365"/>
    <w:rsid w:val="0059777C"/>
    <w:rsid w:val="005D0A01"/>
    <w:rsid w:val="005E74D2"/>
    <w:rsid w:val="00621208"/>
    <w:rsid w:val="00623F73"/>
    <w:rsid w:val="00634198"/>
    <w:rsid w:val="0063708C"/>
    <w:rsid w:val="00674F93"/>
    <w:rsid w:val="006834C2"/>
    <w:rsid w:val="006934D1"/>
    <w:rsid w:val="006A16DC"/>
    <w:rsid w:val="006B556A"/>
    <w:rsid w:val="006B5926"/>
    <w:rsid w:val="006B64F4"/>
    <w:rsid w:val="006C4C45"/>
    <w:rsid w:val="006E5E54"/>
    <w:rsid w:val="00707FAB"/>
    <w:rsid w:val="0071791A"/>
    <w:rsid w:val="00737CC2"/>
    <w:rsid w:val="00745AC5"/>
    <w:rsid w:val="00760CCA"/>
    <w:rsid w:val="0078247E"/>
    <w:rsid w:val="0078666C"/>
    <w:rsid w:val="007879BC"/>
    <w:rsid w:val="007A4F5B"/>
    <w:rsid w:val="007A7489"/>
    <w:rsid w:val="007B555F"/>
    <w:rsid w:val="007C7C29"/>
    <w:rsid w:val="007D3063"/>
    <w:rsid w:val="007D5359"/>
    <w:rsid w:val="007E3921"/>
    <w:rsid w:val="007F38A8"/>
    <w:rsid w:val="007F573B"/>
    <w:rsid w:val="00840BE3"/>
    <w:rsid w:val="00844E6C"/>
    <w:rsid w:val="0086155D"/>
    <w:rsid w:val="00875FC3"/>
    <w:rsid w:val="00877CBD"/>
    <w:rsid w:val="00891C8D"/>
    <w:rsid w:val="00892B31"/>
    <w:rsid w:val="008A18DA"/>
    <w:rsid w:val="008E32DC"/>
    <w:rsid w:val="008E7BD2"/>
    <w:rsid w:val="0091299F"/>
    <w:rsid w:val="00914306"/>
    <w:rsid w:val="0092020B"/>
    <w:rsid w:val="0092519B"/>
    <w:rsid w:val="00937E8E"/>
    <w:rsid w:val="00981E88"/>
    <w:rsid w:val="0098381A"/>
    <w:rsid w:val="00986155"/>
    <w:rsid w:val="00992F22"/>
    <w:rsid w:val="009A0CE3"/>
    <w:rsid w:val="009E143B"/>
    <w:rsid w:val="009F4EF9"/>
    <w:rsid w:val="00A04497"/>
    <w:rsid w:val="00A06D24"/>
    <w:rsid w:val="00A13D40"/>
    <w:rsid w:val="00A13D6D"/>
    <w:rsid w:val="00A22EB4"/>
    <w:rsid w:val="00A265A8"/>
    <w:rsid w:val="00A34E71"/>
    <w:rsid w:val="00A35B09"/>
    <w:rsid w:val="00A363C9"/>
    <w:rsid w:val="00A42F79"/>
    <w:rsid w:val="00A721A2"/>
    <w:rsid w:val="00A82D46"/>
    <w:rsid w:val="00AB79CE"/>
    <w:rsid w:val="00AC3FCD"/>
    <w:rsid w:val="00AC5DD5"/>
    <w:rsid w:val="00AE14AE"/>
    <w:rsid w:val="00B14059"/>
    <w:rsid w:val="00B2616F"/>
    <w:rsid w:val="00B62D80"/>
    <w:rsid w:val="00B81143"/>
    <w:rsid w:val="00B83B1B"/>
    <w:rsid w:val="00BC45BB"/>
    <w:rsid w:val="00BF51C7"/>
    <w:rsid w:val="00C005F6"/>
    <w:rsid w:val="00C02391"/>
    <w:rsid w:val="00C0568B"/>
    <w:rsid w:val="00C05A12"/>
    <w:rsid w:val="00C3105E"/>
    <w:rsid w:val="00C32F0D"/>
    <w:rsid w:val="00C43265"/>
    <w:rsid w:val="00C46F5E"/>
    <w:rsid w:val="00C55B55"/>
    <w:rsid w:val="00C81BBE"/>
    <w:rsid w:val="00C91EB1"/>
    <w:rsid w:val="00CA4B42"/>
    <w:rsid w:val="00CA6886"/>
    <w:rsid w:val="00CB5077"/>
    <w:rsid w:val="00CD345C"/>
    <w:rsid w:val="00D02AAC"/>
    <w:rsid w:val="00D15D0E"/>
    <w:rsid w:val="00D166C9"/>
    <w:rsid w:val="00D241AE"/>
    <w:rsid w:val="00D24356"/>
    <w:rsid w:val="00D308AF"/>
    <w:rsid w:val="00D3132B"/>
    <w:rsid w:val="00D36F3C"/>
    <w:rsid w:val="00D41944"/>
    <w:rsid w:val="00D528BF"/>
    <w:rsid w:val="00D67152"/>
    <w:rsid w:val="00D71FCD"/>
    <w:rsid w:val="00D7790B"/>
    <w:rsid w:val="00DA45CF"/>
    <w:rsid w:val="00DC7F71"/>
    <w:rsid w:val="00DD2371"/>
    <w:rsid w:val="00DF0798"/>
    <w:rsid w:val="00E2794E"/>
    <w:rsid w:val="00E444AD"/>
    <w:rsid w:val="00E523E6"/>
    <w:rsid w:val="00E82A95"/>
    <w:rsid w:val="00E900C3"/>
    <w:rsid w:val="00E925E3"/>
    <w:rsid w:val="00EB4365"/>
    <w:rsid w:val="00EB7A94"/>
    <w:rsid w:val="00ED674D"/>
    <w:rsid w:val="00EE0818"/>
    <w:rsid w:val="00F06ECC"/>
    <w:rsid w:val="00F55873"/>
    <w:rsid w:val="00F705A8"/>
    <w:rsid w:val="00F72570"/>
    <w:rsid w:val="00FB14FF"/>
    <w:rsid w:val="00FB224D"/>
    <w:rsid w:val="00FB6808"/>
    <w:rsid w:val="00FC3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footnote text" w:qFormat="1"/>
    <w:lsdException w:name="footer" w:uiPriority="99"/>
    <w:lsdException w:name="caption" w:semiHidden="1" w:uiPriority="35" w:unhideWhenUsed="1" w:qFormat="1"/>
    <w:lsdException w:name="Title" w:uiPriority="10" w:qFormat="1"/>
    <w:lsdException w:name="Body Text"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C3105E"/>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C3105E"/>
    <w:pPr>
      <w:keepNext/>
      <w:pageBreakBefore/>
      <w:outlineLvl w:val="0"/>
    </w:pPr>
  </w:style>
  <w:style w:type="paragraph" w:styleId="Heading2">
    <w:name w:val="heading 2"/>
    <w:basedOn w:val="EOTSubheading"/>
    <w:link w:val="Heading2Char"/>
    <w:uiPriority w:val="1"/>
    <w:qFormat/>
    <w:rsid w:val="00C3105E"/>
    <w:pPr>
      <w:keepNext/>
      <w:spacing w:before="240"/>
      <w:outlineLvl w:val="1"/>
    </w:pPr>
  </w:style>
  <w:style w:type="paragraph" w:styleId="Heading3">
    <w:name w:val="heading 3"/>
    <w:basedOn w:val="Heading2"/>
    <w:next w:val="Normal"/>
    <w:link w:val="Heading3Char"/>
    <w:uiPriority w:val="9"/>
    <w:unhideWhenUsed/>
    <w:qFormat/>
    <w:rsid w:val="00C3105E"/>
    <w:pPr>
      <w:spacing w:before="360"/>
      <w:outlineLvl w:val="2"/>
    </w:pPr>
    <w:rPr>
      <w:sz w:val="32"/>
      <w:szCs w:val="32"/>
    </w:rPr>
  </w:style>
  <w:style w:type="paragraph" w:styleId="Heading4">
    <w:name w:val="heading 4"/>
    <w:basedOn w:val="Heading3"/>
    <w:next w:val="Normal"/>
    <w:link w:val="Heading4Char"/>
    <w:uiPriority w:val="9"/>
    <w:unhideWhenUsed/>
    <w:qFormat/>
    <w:rsid w:val="00C3105E"/>
    <w:pPr>
      <w:outlineLvl w:val="3"/>
    </w:pPr>
    <w:rPr>
      <w:sz w:val="28"/>
      <w:szCs w:val="28"/>
    </w:rPr>
  </w:style>
  <w:style w:type="paragraph" w:styleId="Heading5">
    <w:name w:val="heading 5"/>
    <w:basedOn w:val="Normal"/>
    <w:next w:val="Normal"/>
    <w:link w:val="Heading5Char"/>
    <w:uiPriority w:val="9"/>
    <w:unhideWhenUsed/>
    <w:qFormat/>
    <w:rsid w:val="00C310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310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310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3105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310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3105E"/>
    <w:rPr>
      <w:rFonts w:ascii="Arial" w:hAnsi="Arial" w:cs="Arial"/>
      <w:color w:val="0D4644"/>
      <w:sz w:val="40"/>
      <w:szCs w:val="40"/>
    </w:rPr>
  </w:style>
  <w:style w:type="character" w:customStyle="1" w:styleId="Heading2Char">
    <w:name w:val="Heading 2 Char"/>
    <w:link w:val="Heading2"/>
    <w:uiPriority w:val="1"/>
    <w:rsid w:val="00C3105E"/>
    <w:rPr>
      <w:rFonts w:ascii="Arial" w:hAnsi="Arial" w:cs="Arial"/>
      <w:color w:val="0D4644"/>
      <w:sz w:val="40"/>
      <w:szCs w:val="40"/>
    </w:rPr>
  </w:style>
  <w:style w:type="character" w:customStyle="1" w:styleId="Heading3Char">
    <w:name w:val="Heading 3 Char"/>
    <w:link w:val="Heading3"/>
    <w:uiPriority w:val="9"/>
    <w:rsid w:val="00C3105E"/>
    <w:rPr>
      <w:rFonts w:ascii="Arial" w:hAnsi="Arial" w:cs="Arial"/>
      <w:color w:val="0D4644"/>
      <w:sz w:val="32"/>
      <w:szCs w:val="32"/>
    </w:rPr>
  </w:style>
  <w:style w:type="character" w:customStyle="1" w:styleId="Heading4Char">
    <w:name w:val="Heading 4 Char"/>
    <w:link w:val="Heading4"/>
    <w:uiPriority w:val="9"/>
    <w:rsid w:val="00C3105E"/>
    <w:rPr>
      <w:rFonts w:ascii="Arial" w:hAnsi="Arial" w:cs="Arial"/>
      <w:color w:val="0D4644"/>
      <w:sz w:val="28"/>
      <w:szCs w:val="28"/>
    </w:rPr>
  </w:style>
  <w:style w:type="character" w:customStyle="1" w:styleId="Heading5Char">
    <w:name w:val="Heading 5 Char"/>
    <w:link w:val="Heading5"/>
    <w:uiPriority w:val="9"/>
    <w:rsid w:val="00C3105E"/>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C3105E"/>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C3105E"/>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C3105E"/>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C3105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310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C3105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310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C3105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3105E"/>
    <w:rPr>
      <w:b/>
      <w:bCs/>
    </w:rPr>
  </w:style>
  <w:style w:type="character" w:styleId="Emphasis">
    <w:name w:val="Emphasis"/>
    <w:uiPriority w:val="20"/>
    <w:qFormat/>
    <w:rsid w:val="00C3105E"/>
    <w:rPr>
      <w:i/>
      <w:iCs/>
    </w:rPr>
  </w:style>
  <w:style w:type="paragraph" w:styleId="NoSpacing">
    <w:name w:val="No Spacing"/>
    <w:basedOn w:val="Normal"/>
    <w:link w:val="NoSpacingChar"/>
    <w:uiPriority w:val="1"/>
    <w:qFormat/>
    <w:rsid w:val="00C3105E"/>
    <w:rPr>
      <w:rFonts w:asciiTheme="minorHAnsi" w:hAnsiTheme="minorHAnsi"/>
      <w:color w:val="auto"/>
    </w:rPr>
  </w:style>
  <w:style w:type="character" w:customStyle="1" w:styleId="NoSpacingChar">
    <w:name w:val="No Spacing Char"/>
    <w:link w:val="NoSpacing"/>
    <w:uiPriority w:val="1"/>
    <w:rsid w:val="00C3105E"/>
  </w:style>
  <w:style w:type="paragraph" w:styleId="ListParagraph">
    <w:name w:val="List Paragraph"/>
    <w:aliases w:val="EOT List Paragraph"/>
    <w:link w:val="ListParagraphChar"/>
    <w:uiPriority w:val="1"/>
    <w:qFormat/>
    <w:rsid w:val="00C3105E"/>
    <w:pPr>
      <w:numPr>
        <w:numId w:val="2"/>
      </w:numPr>
      <w:spacing w:after="200" w:line="280" w:lineRule="exact"/>
      <w:ind w:left="709" w:hanging="357"/>
      <w:contextualSpacing/>
    </w:pPr>
    <w:rPr>
      <w:rFonts w:ascii="Arial" w:hAnsi="Arial"/>
      <w:color w:val="0D4644"/>
    </w:rPr>
  </w:style>
  <w:style w:type="paragraph" w:styleId="Quote">
    <w:name w:val="Quote"/>
    <w:basedOn w:val="Normal"/>
    <w:next w:val="Normal"/>
    <w:link w:val="QuoteChar"/>
    <w:uiPriority w:val="29"/>
    <w:qFormat/>
    <w:rsid w:val="00C3105E"/>
    <w:pPr>
      <w:ind w:left="567" w:right="567"/>
    </w:pPr>
    <w:rPr>
      <w:sz w:val="20"/>
      <w:szCs w:val="20"/>
    </w:rPr>
  </w:style>
  <w:style w:type="character" w:customStyle="1" w:styleId="QuoteChar">
    <w:name w:val="Quote Char"/>
    <w:link w:val="Quote"/>
    <w:uiPriority w:val="29"/>
    <w:rsid w:val="00C3105E"/>
    <w:rPr>
      <w:rFonts w:ascii="Arial" w:hAnsi="Arial"/>
      <w:color w:val="0D4644"/>
      <w:sz w:val="20"/>
      <w:szCs w:val="20"/>
    </w:rPr>
  </w:style>
  <w:style w:type="paragraph" w:styleId="IntenseQuote">
    <w:name w:val="Intense Quote"/>
    <w:basedOn w:val="Normal"/>
    <w:next w:val="Normal"/>
    <w:link w:val="IntenseQuoteChar"/>
    <w:uiPriority w:val="30"/>
    <w:qFormat/>
    <w:rsid w:val="00C3105E"/>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C3105E"/>
    <w:rPr>
      <w:b/>
      <w:bCs/>
      <w:i/>
      <w:iCs/>
      <w:color w:val="4F81BD" w:themeColor="accent1"/>
    </w:rPr>
  </w:style>
  <w:style w:type="character" w:styleId="SubtleEmphasis">
    <w:name w:val="Subtle Emphasis"/>
    <w:uiPriority w:val="19"/>
    <w:qFormat/>
    <w:rsid w:val="00C3105E"/>
    <w:rPr>
      <w:i/>
      <w:iCs/>
      <w:color w:val="808080" w:themeColor="text1" w:themeTint="7F"/>
    </w:rPr>
  </w:style>
  <w:style w:type="character" w:styleId="IntenseEmphasis">
    <w:name w:val="Intense Emphasis"/>
    <w:uiPriority w:val="21"/>
    <w:qFormat/>
    <w:rsid w:val="00C3105E"/>
    <w:rPr>
      <w:b/>
      <w:bCs/>
      <w:i/>
      <w:iCs/>
      <w:color w:val="4F81BD" w:themeColor="accent1"/>
    </w:rPr>
  </w:style>
  <w:style w:type="character" w:styleId="SubtleReference">
    <w:name w:val="Subtle Reference"/>
    <w:uiPriority w:val="31"/>
    <w:qFormat/>
    <w:rsid w:val="00C3105E"/>
    <w:rPr>
      <w:smallCaps/>
      <w:color w:val="C0504D" w:themeColor="accent2"/>
      <w:u w:val="single"/>
    </w:rPr>
  </w:style>
  <w:style w:type="character" w:styleId="IntenseReference">
    <w:name w:val="Intense Reference"/>
    <w:uiPriority w:val="32"/>
    <w:qFormat/>
    <w:rsid w:val="00C3105E"/>
    <w:rPr>
      <w:b/>
      <w:bCs/>
      <w:smallCaps/>
      <w:color w:val="C0504D" w:themeColor="accent2"/>
      <w:spacing w:val="5"/>
      <w:u w:val="single"/>
    </w:rPr>
  </w:style>
  <w:style w:type="character" w:styleId="BookTitle">
    <w:name w:val="Book Title"/>
    <w:uiPriority w:val="33"/>
    <w:qFormat/>
    <w:rsid w:val="00C3105E"/>
    <w:rPr>
      <w:b/>
      <w:bCs/>
      <w:smallCaps/>
      <w:spacing w:val="5"/>
    </w:rPr>
  </w:style>
  <w:style w:type="paragraph" w:styleId="TOCHeading">
    <w:name w:val="TOC Heading"/>
    <w:basedOn w:val="Heading1"/>
    <w:next w:val="Normal"/>
    <w:uiPriority w:val="39"/>
    <w:unhideWhenUsed/>
    <w:qFormat/>
    <w:rsid w:val="00C3105E"/>
    <w:pPr>
      <w:keepLines/>
      <w:spacing w:before="480"/>
      <w:outlineLvl w:val="9"/>
    </w:pPr>
    <w:rPr>
      <w:rFonts w:asciiTheme="majorHAnsi" w:eastAsiaTheme="majorEastAsia" w:hAnsiTheme="majorHAnsi" w:cstheme="majorBidi"/>
      <w:b/>
      <w:color w:val="365F91" w:themeColor="accent1" w:themeShade="BF"/>
      <w:sz w:val="28"/>
      <w:szCs w:val="28"/>
    </w:rPr>
  </w:style>
  <w:style w:type="paragraph" w:customStyle="1" w:styleId="Normal-numbered">
    <w:name w:val="Normal-numbered"/>
    <w:basedOn w:val="Normal"/>
    <w:link w:val="Normal-numberedChar"/>
    <w:rsid w:val="007879BC"/>
    <w:pPr>
      <w:spacing w:after="240" w:line="276" w:lineRule="auto"/>
      <w:ind w:left="426" w:hanging="426"/>
    </w:pPr>
    <w:rPr>
      <w:rFonts w:ascii="Gill Sans MT" w:hAnsi="Gill Sans MT"/>
    </w:rPr>
  </w:style>
  <w:style w:type="character" w:customStyle="1" w:styleId="Normal-numberedChar">
    <w:name w:val="Normal-numbered Char"/>
    <w:link w:val="Normal-numbered"/>
    <w:rsid w:val="007879BC"/>
    <w:rPr>
      <w:rFonts w:ascii="Gill Sans MT" w:hAnsi="Gill Sans MT"/>
      <w:sz w:val="24"/>
      <w:szCs w:val="24"/>
    </w:rPr>
  </w:style>
  <w:style w:type="paragraph" w:customStyle="1" w:styleId="OADC">
    <w:name w:val="OADC"/>
    <w:basedOn w:val="BodyText"/>
    <w:link w:val="OADCChar"/>
    <w:rsid w:val="00085AE0"/>
    <w:pPr>
      <w:ind w:left="993" w:right="-35"/>
      <w:jc w:val="center"/>
    </w:pPr>
    <w:rPr>
      <w:b/>
      <w:noProof/>
      <w:sz w:val="32"/>
      <w:szCs w:val="32"/>
    </w:rPr>
  </w:style>
  <w:style w:type="character" w:customStyle="1" w:styleId="OADCChar">
    <w:name w:val="OADC Char"/>
    <w:link w:val="OADC"/>
    <w:rsid w:val="00085AE0"/>
    <w:rPr>
      <w:rFonts w:ascii="Century Schoolbook" w:hAnsi="Century Schoolbook" w:cs="Arial"/>
      <w:b/>
      <w:noProof/>
      <w:sz w:val="32"/>
      <w:szCs w:val="32"/>
    </w:rPr>
  </w:style>
  <w:style w:type="paragraph" w:styleId="BodyText">
    <w:name w:val="Body Text"/>
    <w:aliases w:val="EOT - Body"/>
    <w:basedOn w:val="Normal"/>
    <w:link w:val="BodyTextChar"/>
    <w:uiPriority w:val="1"/>
    <w:qFormat/>
    <w:rsid w:val="00C3105E"/>
  </w:style>
  <w:style w:type="character" w:customStyle="1" w:styleId="BodyTextChar">
    <w:name w:val="Body Text Char"/>
    <w:aliases w:val="EOT - Body Char"/>
    <w:basedOn w:val="DefaultParagraphFont"/>
    <w:link w:val="BodyText"/>
    <w:uiPriority w:val="1"/>
    <w:rsid w:val="00C3105E"/>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085AE0"/>
    <w:pPr>
      <w:ind w:left="1259" w:right="-471"/>
      <w:jc w:val="center"/>
    </w:pPr>
    <w:rPr>
      <w:sz w:val="18"/>
      <w:szCs w:val="20"/>
    </w:rPr>
  </w:style>
  <w:style w:type="character" w:customStyle="1" w:styleId="OADCAddressDetailsChar">
    <w:name w:val="OADC Address Details Char"/>
    <w:link w:val="OADCAddressDetails"/>
    <w:rsid w:val="00085AE0"/>
    <w:rPr>
      <w:rFonts w:ascii="Century Schoolbook" w:hAnsi="Century Schoolbook" w:cs="Arial"/>
      <w:sz w:val="18"/>
    </w:rPr>
  </w:style>
  <w:style w:type="paragraph" w:customStyle="1" w:styleId="Quote-sub-section">
    <w:name w:val="Quote - sub-section"/>
    <w:basedOn w:val="Normal"/>
    <w:link w:val="Quote-sub-sectionChar"/>
    <w:qFormat/>
    <w:rsid w:val="00C3105E"/>
    <w:pPr>
      <w:ind w:left="1134" w:right="520" w:hanging="567"/>
    </w:pPr>
    <w:rPr>
      <w:sz w:val="20"/>
      <w:szCs w:val="20"/>
    </w:rPr>
  </w:style>
  <w:style w:type="character" w:customStyle="1" w:styleId="Quote-sub-sectionChar">
    <w:name w:val="Quote - sub-section Char"/>
    <w:basedOn w:val="DefaultParagraphFont"/>
    <w:link w:val="Quote-sub-section"/>
    <w:rsid w:val="00C3105E"/>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C3105E"/>
  </w:style>
  <w:style w:type="character" w:customStyle="1" w:styleId="TabletextChar">
    <w:name w:val="Table text Char"/>
    <w:link w:val="Tabletext"/>
    <w:rsid w:val="00C3105E"/>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spacing w:after="240"/>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3"/>
      </w:numPr>
      <w:pBdr>
        <w:left w:val="single" w:sz="18" w:space="4" w:color="BFBFBF"/>
      </w:pBdr>
      <w:shd w:val="clear" w:color="auto" w:fill="F2F2F2"/>
      <w:spacing w:before="360" w:after="120"/>
      <w:ind w:left="0" w:firstLine="0"/>
    </w:pPr>
    <w:rPr>
      <w:lang w:eastAsia="en-US"/>
    </w:rPr>
  </w:style>
  <w:style w:type="character" w:customStyle="1" w:styleId="RecommendationheadChar">
    <w:name w:val="Recommendation head Char"/>
    <w:link w:val="Recommendationhead"/>
    <w:rsid w:val="00085AE0"/>
    <w:rPr>
      <w:rFonts w:ascii="Arial" w:hAnsi="Arial" w:cs="Arial"/>
      <w:sz w:val="22"/>
      <w:szCs w:val="22"/>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after="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spacing w:line="360" w:lineRule="auto"/>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C3105E"/>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C3105E"/>
    <w:pPr>
      <w:tabs>
        <w:tab w:val="right" w:pos="9270"/>
      </w:tabs>
      <w:spacing w:after="100"/>
      <w:ind w:left="709" w:hanging="425"/>
    </w:pPr>
    <w:rPr>
      <w:rFonts w:eastAsia="Arial"/>
      <w:bCs/>
    </w:rPr>
  </w:style>
  <w:style w:type="paragraph" w:styleId="TOC3">
    <w:name w:val="toc 3"/>
    <w:basedOn w:val="Normal"/>
    <w:uiPriority w:val="39"/>
    <w:qFormat/>
    <w:rsid w:val="00C3105E"/>
    <w:pPr>
      <w:spacing w:before="178"/>
      <w:ind w:left="1098" w:hanging="535"/>
    </w:pPr>
    <w:rPr>
      <w:rFonts w:eastAsia="Arial"/>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pBdr>
        <w:bottom w:val="none" w:sz="0" w:space="0" w:color="auto"/>
      </w:pBdr>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C3105E"/>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qFormat/>
    <w:rsid w:val="00C3105E"/>
    <w:pPr>
      <w:ind w:left="567" w:hanging="567"/>
    </w:pPr>
    <w:rPr>
      <w:sz w:val="18"/>
      <w:szCs w:val="20"/>
    </w:rPr>
  </w:style>
  <w:style w:type="character" w:customStyle="1" w:styleId="FootnoteTextChar">
    <w:name w:val="Footnote Text Char"/>
    <w:basedOn w:val="DefaultParagraphFont"/>
    <w:link w:val="FootnoteText"/>
    <w:rsid w:val="00C3105E"/>
    <w:rPr>
      <w:rFonts w:ascii="Arial" w:hAnsi="Arial"/>
      <w:color w:val="0D4644"/>
      <w:sz w:val="18"/>
      <w:szCs w:val="20"/>
    </w:rPr>
  </w:style>
  <w:style w:type="character" w:styleId="FootnoteReference">
    <w:name w:val="footnote reference"/>
    <w:basedOn w:val="DefaultParagraphFont"/>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customStyle="1" w:styleId="Normal-bulleted">
    <w:name w:val="Normal-bulleted"/>
    <w:basedOn w:val="Normal"/>
    <w:link w:val="Normal-bulletedChar"/>
    <w:qFormat/>
    <w:rsid w:val="00C3105E"/>
    <w:pPr>
      <w:numPr>
        <w:numId w:val="3"/>
      </w:numPr>
      <w:spacing w:line="276" w:lineRule="auto"/>
      <w:ind w:left="360"/>
      <w:contextualSpacing/>
    </w:pPr>
  </w:style>
  <w:style w:type="character" w:customStyle="1" w:styleId="Normal-bulletedChar">
    <w:name w:val="Normal-bulleted Char"/>
    <w:link w:val="Normal-bulleted"/>
    <w:rsid w:val="00C3105E"/>
    <w:rPr>
      <w:rFonts w:ascii="Arial" w:hAnsi="Arial"/>
      <w:color w:val="0D4644"/>
    </w:rPr>
  </w:style>
  <w:style w:type="paragraph" w:customStyle="1" w:styleId="Name">
    <w:name w:val="Name"/>
    <w:basedOn w:val="BodyText"/>
    <w:link w:val="NameChar"/>
    <w:qFormat/>
    <w:rsid w:val="00C3105E"/>
    <w:pPr>
      <w:spacing w:before="1200" w:after="0" w:line="240" w:lineRule="auto"/>
    </w:pPr>
    <w:rPr>
      <w:b/>
    </w:rPr>
  </w:style>
  <w:style w:type="character" w:customStyle="1" w:styleId="NameChar">
    <w:name w:val="Name Char"/>
    <w:basedOn w:val="DefaultParagraphFont"/>
    <w:link w:val="Name"/>
    <w:rsid w:val="00C3105E"/>
    <w:rPr>
      <w:rFonts w:ascii="Arial" w:hAnsi="Arial"/>
      <w:b/>
      <w:color w:val="0D4644"/>
    </w:rPr>
  </w:style>
  <w:style w:type="paragraph" w:customStyle="1" w:styleId="JobTitle">
    <w:name w:val="Job Title"/>
    <w:basedOn w:val="BodyText"/>
    <w:link w:val="JobTitleChar"/>
    <w:qFormat/>
    <w:rsid w:val="00C3105E"/>
    <w:rPr>
      <w:smallCaps/>
    </w:rPr>
  </w:style>
  <w:style w:type="character" w:customStyle="1" w:styleId="JobTitleChar">
    <w:name w:val="Job Title Char"/>
    <w:basedOn w:val="DefaultParagraphFont"/>
    <w:link w:val="JobTitle"/>
    <w:rsid w:val="00C3105E"/>
    <w:rPr>
      <w:rFonts w:ascii="Arial" w:hAnsi="Arial"/>
      <w:smallCaps/>
      <w:color w:val="0D4644"/>
    </w:rPr>
  </w:style>
  <w:style w:type="paragraph" w:customStyle="1" w:styleId="Example">
    <w:name w:val="Example"/>
    <w:basedOn w:val="ListParagraph"/>
    <w:link w:val="ExampleChar"/>
    <w:qFormat/>
    <w:rsid w:val="00C3105E"/>
    <w:pPr>
      <w:keepLines/>
      <w:numPr>
        <w:numId w:val="0"/>
      </w:numPr>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ExampleChar">
    <w:name w:val="Example Char"/>
    <w:basedOn w:val="ListParagraphChar"/>
    <w:link w:val="Example"/>
    <w:rsid w:val="00C3105E"/>
    <w:rPr>
      <w:rFonts w:ascii="Arial" w:hAnsi="Arial" w:cs="Arial"/>
      <w:color w:val="0D4644"/>
      <w:sz w:val="24"/>
      <w:szCs w:val="24"/>
      <w:shd w:val="clear" w:color="auto" w:fill="D9D9D9" w:themeFill="background1" w:themeFillShade="D9"/>
    </w:rPr>
  </w:style>
  <w:style w:type="paragraph" w:customStyle="1" w:styleId="Examplegap">
    <w:name w:val="Example gap"/>
    <w:basedOn w:val="Normal"/>
    <w:link w:val="ExamplegapChar"/>
    <w:qFormat/>
    <w:rsid w:val="00C3105E"/>
    <w:pPr>
      <w:spacing w:after="0" w:line="240" w:lineRule="auto"/>
    </w:pPr>
    <w:rPr>
      <w:rFonts w:cs="Arial"/>
      <w:color w:val="auto"/>
      <w:sz w:val="16"/>
      <w:szCs w:val="16"/>
    </w:rPr>
  </w:style>
  <w:style w:type="character" w:customStyle="1" w:styleId="ExamplegapChar">
    <w:name w:val="Example gap Char"/>
    <w:basedOn w:val="DefaultParagraphFont"/>
    <w:link w:val="Examplegap"/>
    <w:rsid w:val="00C3105E"/>
    <w:rPr>
      <w:rFonts w:ascii="Arial" w:hAnsi="Arial" w:cs="Arial"/>
      <w:sz w:val="16"/>
      <w:szCs w:val="16"/>
    </w:rPr>
  </w:style>
  <w:style w:type="paragraph" w:customStyle="1" w:styleId="TableParagraph">
    <w:name w:val="Table Paragraph"/>
    <w:basedOn w:val="Normal"/>
    <w:uiPriority w:val="1"/>
    <w:qFormat/>
    <w:rsid w:val="00C3105E"/>
  </w:style>
  <w:style w:type="paragraph" w:customStyle="1" w:styleId="EOTDocumenttitle">
    <w:name w:val="EOT Document title"/>
    <w:basedOn w:val="Normal"/>
    <w:uiPriority w:val="1"/>
    <w:qFormat/>
    <w:rsid w:val="00C3105E"/>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C3105E"/>
    <w:pPr>
      <w:keepNext/>
      <w:spacing w:line="440" w:lineRule="exact"/>
    </w:pPr>
    <w:rPr>
      <w:rFonts w:cs="Arial"/>
      <w:sz w:val="32"/>
      <w:szCs w:val="32"/>
    </w:rPr>
  </w:style>
  <w:style w:type="paragraph" w:customStyle="1" w:styleId="EOT-Contents">
    <w:name w:val="EOT - Contents"/>
    <w:basedOn w:val="Normal"/>
    <w:uiPriority w:val="1"/>
    <w:qFormat/>
    <w:rsid w:val="00C3105E"/>
    <w:pPr>
      <w:tabs>
        <w:tab w:val="left" w:pos="284"/>
        <w:tab w:val="right" w:pos="10773"/>
      </w:tabs>
      <w:spacing w:after="100"/>
      <w:ind w:left="284"/>
    </w:pPr>
  </w:style>
  <w:style w:type="paragraph" w:customStyle="1" w:styleId="EOT-Contentssectionhead">
    <w:name w:val="EOT - Contents section head"/>
    <w:basedOn w:val="EOT-Contents"/>
    <w:uiPriority w:val="1"/>
    <w:qFormat/>
    <w:rsid w:val="00C3105E"/>
    <w:pPr>
      <w:spacing w:before="200" w:after="200"/>
      <w:ind w:left="0"/>
    </w:pPr>
    <w:rPr>
      <w:b/>
      <w:bCs/>
    </w:rPr>
  </w:style>
  <w:style w:type="paragraph" w:customStyle="1" w:styleId="EOT-Subheadingunderlined">
    <w:name w:val="EOT - Subheading underlined"/>
    <w:uiPriority w:val="1"/>
    <w:qFormat/>
    <w:rsid w:val="00C3105E"/>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C3105E"/>
    <w:pPr>
      <w:numPr>
        <w:numId w:val="40"/>
      </w:numPr>
      <w:spacing w:line="280" w:lineRule="exact"/>
    </w:pPr>
    <w:rPr>
      <w:rFonts w:ascii="Arial" w:eastAsia="Times New Roman" w:hAnsi="Arial"/>
      <w:color w:val="0D4644"/>
    </w:rPr>
  </w:style>
  <w:style w:type="paragraph" w:customStyle="1" w:styleId="EOTRecommendationpara">
    <w:name w:val="EOT Recommendation para"/>
    <w:uiPriority w:val="1"/>
    <w:qFormat/>
    <w:rsid w:val="00C3105E"/>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C3105E"/>
    <w:rPr>
      <w:rFonts w:ascii="Arial" w:hAnsi="Arial" w:cs="Arial"/>
      <w:color w:val="0D4644"/>
      <w:sz w:val="40"/>
      <w:szCs w:val="40"/>
    </w:rPr>
  </w:style>
  <w:style w:type="paragraph" w:customStyle="1" w:styleId="EOTCaseStudyBody">
    <w:name w:val="EOT Case Study Body"/>
    <w:basedOn w:val="BodyText"/>
    <w:uiPriority w:val="1"/>
    <w:qFormat/>
    <w:rsid w:val="00C3105E"/>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C3105E"/>
    <w:pPr>
      <w:keepNext/>
    </w:pPr>
    <w:rPr>
      <w:color w:val="0D4644"/>
      <w:sz w:val="32"/>
      <w:szCs w:val="40"/>
    </w:rPr>
  </w:style>
  <w:style w:type="paragraph" w:customStyle="1" w:styleId="Frontpagefootertop">
    <w:name w:val="Front page footer top"/>
    <w:basedOn w:val="Normal"/>
    <w:link w:val="FrontpagefootertopChar"/>
    <w:uiPriority w:val="1"/>
    <w:qFormat/>
    <w:rsid w:val="00C3105E"/>
    <w:pPr>
      <w:pBdr>
        <w:top w:val="single" w:sz="4" w:space="1" w:color="auto"/>
      </w:pBdr>
      <w:spacing w:before="840"/>
    </w:pPr>
    <w:rPr>
      <w:b/>
      <w:sz w:val="20"/>
      <w:szCs w:val="20"/>
    </w:rPr>
  </w:style>
  <w:style w:type="character" w:customStyle="1" w:styleId="FrontpagefootertopChar">
    <w:name w:val="Front page footer top Char"/>
    <w:basedOn w:val="DefaultParagraphFont"/>
    <w:link w:val="Frontpagefootertop"/>
    <w:uiPriority w:val="1"/>
    <w:rsid w:val="00C3105E"/>
    <w:rPr>
      <w:rFonts w:ascii="Arial" w:hAnsi="Arial"/>
      <w:b/>
      <w:color w:val="0D4644"/>
      <w:sz w:val="20"/>
      <w:szCs w:val="20"/>
    </w:rPr>
  </w:style>
  <w:style w:type="paragraph" w:customStyle="1" w:styleId="FrontpageEOTname">
    <w:name w:val="Front page EOT name"/>
    <w:basedOn w:val="Normal"/>
    <w:link w:val="FrontpageEOTnameChar"/>
    <w:uiPriority w:val="1"/>
    <w:qFormat/>
    <w:rsid w:val="00C3105E"/>
    <w:pPr>
      <w:pBdr>
        <w:top w:val="single" w:sz="4" w:space="1" w:color="auto"/>
      </w:pBdr>
      <w:spacing w:before="840" w:after="0" w:line="240" w:lineRule="auto"/>
    </w:pPr>
    <w:rPr>
      <w:b/>
      <w:sz w:val="20"/>
      <w:szCs w:val="20"/>
    </w:rPr>
  </w:style>
  <w:style w:type="character" w:customStyle="1" w:styleId="FrontpageEOTnameChar">
    <w:name w:val="Front page EOT name Char"/>
    <w:basedOn w:val="DefaultParagraphFont"/>
    <w:link w:val="FrontpageEOTname"/>
    <w:uiPriority w:val="1"/>
    <w:rsid w:val="00C3105E"/>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C3105E"/>
    <w:pPr>
      <w:spacing w:after="180" w:line="240" w:lineRule="auto"/>
    </w:pPr>
    <w:rPr>
      <w:spacing w:val="-4"/>
      <w:sz w:val="20"/>
      <w:szCs w:val="20"/>
    </w:rPr>
  </w:style>
  <w:style w:type="character" w:customStyle="1" w:styleId="FrontpagefootertextwithspacingChar">
    <w:name w:val="Front page footer text with spacing Char"/>
    <w:basedOn w:val="DefaultParagraphFont"/>
    <w:link w:val="Frontpagefootertextwithspacing"/>
    <w:uiPriority w:val="1"/>
    <w:rsid w:val="00C3105E"/>
    <w:rPr>
      <w:rFonts w:ascii="Arial" w:hAnsi="Arial"/>
      <w:color w:val="0D4644"/>
      <w:spacing w:val="-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C3105E"/>
    <w:pPr>
      <w:spacing w:after="0"/>
    </w:pPr>
  </w:style>
  <w:style w:type="character" w:customStyle="1" w:styleId="Frontpagefooter-textwithoutspacingChar">
    <w:name w:val="Front page footer-text without spacing Char"/>
    <w:basedOn w:val="FrontpagefootertextwithspacingChar"/>
    <w:link w:val="Frontpagefooter-textwithoutspacing"/>
    <w:uiPriority w:val="1"/>
    <w:rsid w:val="00C3105E"/>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C3105E"/>
    <w:pPr>
      <w:spacing w:before="360" w:after="0" w:line="240" w:lineRule="auto"/>
    </w:pPr>
    <w:rPr>
      <w:b/>
      <w:color w:val="F034BF"/>
    </w:rPr>
  </w:style>
  <w:style w:type="character" w:customStyle="1" w:styleId="Frontpagefooter-websiteChar">
    <w:name w:val="Front page footer - website Char"/>
    <w:basedOn w:val="DefaultParagraphFont"/>
    <w:link w:val="Frontpagefooter-website"/>
    <w:uiPriority w:val="1"/>
    <w:rsid w:val="00C3105E"/>
    <w:rPr>
      <w:rFonts w:ascii="Arial" w:hAnsi="Arial"/>
      <w:b/>
      <w:color w:val="F034BF"/>
    </w:rPr>
  </w:style>
  <w:style w:type="paragraph" w:customStyle="1" w:styleId="Quotebullet">
    <w:name w:val="Quote bullet"/>
    <w:basedOn w:val="Normal-bulleted"/>
    <w:link w:val="QuotebulletChar"/>
    <w:uiPriority w:val="1"/>
    <w:qFormat/>
    <w:rsid w:val="00C3105E"/>
    <w:pPr>
      <w:numPr>
        <w:numId w:val="7"/>
      </w:numPr>
      <w:ind w:left="720" w:right="567" w:hanging="360"/>
    </w:pPr>
    <w:rPr>
      <w:sz w:val="20"/>
      <w:szCs w:val="20"/>
    </w:rPr>
  </w:style>
  <w:style w:type="character" w:customStyle="1" w:styleId="QuotebulletChar">
    <w:name w:val="Quote bullet Char"/>
    <w:basedOn w:val="Normal-bulletedChar"/>
    <w:link w:val="Quotebullet"/>
    <w:uiPriority w:val="1"/>
    <w:rsid w:val="00C3105E"/>
    <w:rPr>
      <w:rFonts w:ascii="Arial" w:hAnsi="Arial"/>
      <w:color w:val="0D4644"/>
      <w:sz w:val="20"/>
      <w:szCs w:val="20"/>
    </w:rPr>
  </w:style>
  <w:style w:type="paragraph" w:customStyle="1" w:styleId="Quote-subsection">
    <w:name w:val="Quote - subsection"/>
    <w:basedOn w:val="Quote-sub-section"/>
    <w:link w:val="Quote-subsectionChar"/>
    <w:uiPriority w:val="1"/>
    <w:qFormat/>
    <w:rsid w:val="00C3105E"/>
    <w:pPr>
      <w:numPr>
        <w:numId w:val="1"/>
      </w:numPr>
      <w:ind w:left="1560" w:hanging="426"/>
    </w:pPr>
  </w:style>
  <w:style w:type="character" w:customStyle="1" w:styleId="Quote-subsectionChar">
    <w:name w:val="Quote - subsection Char"/>
    <w:basedOn w:val="Quote-sub-sectionChar"/>
    <w:link w:val="Quote-subsection"/>
    <w:uiPriority w:val="1"/>
    <w:rsid w:val="00C3105E"/>
    <w:rPr>
      <w:rFonts w:ascii="Arial" w:hAnsi="Arial"/>
      <w:color w:val="0D4644"/>
      <w:sz w:val="20"/>
      <w:szCs w:val="20"/>
    </w:rPr>
  </w:style>
  <w:style w:type="paragraph" w:styleId="TOC4">
    <w:name w:val="toc 4"/>
    <w:basedOn w:val="Normal"/>
    <w:uiPriority w:val="1"/>
    <w:qFormat/>
    <w:rsid w:val="00C3105E"/>
    <w:pPr>
      <w:ind w:left="1130"/>
    </w:pPr>
    <w:rPr>
      <w:rFonts w:eastAsia="Arial"/>
      <w:sz w:val="20"/>
      <w:szCs w:val="20"/>
    </w:rPr>
  </w:style>
  <w:style w:type="paragraph" w:styleId="TOC5">
    <w:name w:val="toc 5"/>
    <w:basedOn w:val="Normal"/>
    <w:uiPriority w:val="1"/>
    <w:qFormat/>
    <w:rsid w:val="00C3105E"/>
    <w:pPr>
      <w:ind w:left="1698"/>
    </w:pPr>
    <w:rPr>
      <w:rFonts w:eastAsia="Arial"/>
      <w:sz w:val="20"/>
      <w:szCs w:val="20"/>
    </w:rPr>
  </w:style>
  <w:style w:type="paragraph" w:styleId="TOC6">
    <w:name w:val="toc 6"/>
    <w:basedOn w:val="Normal"/>
    <w:uiPriority w:val="1"/>
    <w:qFormat/>
    <w:rsid w:val="00C3105E"/>
    <w:pPr>
      <w:spacing w:before="598"/>
      <w:ind w:left="3672"/>
    </w:pPr>
    <w:rPr>
      <w:rFonts w:eastAsia="Arial"/>
      <w:sz w:val="18"/>
      <w:szCs w:val="18"/>
    </w:rPr>
  </w:style>
  <w:style w:type="paragraph" w:styleId="Caption">
    <w:name w:val="caption"/>
    <w:basedOn w:val="Normal"/>
    <w:next w:val="Normal"/>
    <w:uiPriority w:val="35"/>
    <w:unhideWhenUsed/>
    <w:qFormat/>
    <w:rsid w:val="00C3105E"/>
    <w:pPr>
      <w:keepNext/>
    </w:pPr>
    <w:rPr>
      <w:b/>
      <w:bCs/>
      <w:sz w:val="20"/>
      <w:szCs w:val="20"/>
    </w:rPr>
  </w:style>
  <w:style w:type="paragraph" w:styleId="Footer">
    <w:name w:val="footer"/>
    <w:basedOn w:val="Normal"/>
    <w:link w:val="FooterChar"/>
    <w:uiPriority w:val="99"/>
    <w:rsid w:val="00A04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497"/>
    <w:rPr>
      <w:rFonts w:ascii="Arial" w:hAnsi="Arial"/>
      <w:color w:val="0D4644"/>
    </w:rPr>
  </w:style>
  <w:style w:type="paragraph" w:customStyle="1" w:styleId="ListBullet1">
    <w:name w:val="List Bullet1"/>
    <w:basedOn w:val="Quotebullet"/>
    <w:link w:val="ListbulletChar"/>
    <w:uiPriority w:val="1"/>
    <w:qFormat/>
    <w:rsid w:val="00C3105E"/>
    <w:pPr>
      <w:numPr>
        <w:numId w:val="0"/>
      </w:numPr>
      <w:ind w:left="720" w:hanging="360"/>
    </w:pPr>
  </w:style>
  <w:style w:type="character" w:customStyle="1" w:styleId="ListbulletChar">
    <w:name w:val="List bullet Char"/>
    <w:basedOn w:val="QuotebulletChar"/>
    <w:link w:val="ListBullet1"/>
    <w:uiPriority w:val="1"/>
    <w:rsid w:val="00C3105E"/>
    <w:rPr>
      <w:rFonts w:ascii="Arial" w:hAnsi="Arial"/>
      <w:color w:val="0D4644"/>
      <w:sz w:val="20"/>
      <w:szCs w:val="20"/>
    </w:rPr>
  </w:style>
  <w:style w:type="table" w:styleId="Table3Deffects3">
    <w:name w:val="Table 3D effects 3"/>
    <w:basedOn w:val="TableNormal"/>
    <w:rsid w:val="005D0A01"/>
    <w:pPr>
      <w:widowControl/>
      <w:spacing w:after="200"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footnote text" w:qFormat="1"/>
    <w:lsdException w:name="footer" w:uiPriority="99"/>
    <w:lsdException w:name="caption" w:semiHidden="1" w:uiPriority="35" w:unhideWhenUsed="1" w:qFormat="1"/>
    <w:lsdException w:name="Title" w:uiPriority="10" w:qFormat="1"/>
    <w:lsdException w:name="Body Text"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C3105E"/>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C3105E"/>
    <w:pPr>
      <w:keepNext/>
      <w:pageBreakBefore/>
      <w:outlineLvl w:val="0"/>
    </w:pPr>
  </w:style>
  <w:style w:type="paragraph" w:styleId="Heading2">
    <w:name w:val="heading 2"/>
    <w:basedOn w:val="EOTSubheading"/>
    <w:link w:val="Heading2Char"/>
    <w:uiPriority w:val="1"/>
    <w:qFormat/>
    <w:rsid w:val="00C3105E"/>
    <w:pPr>
      <w:keepNext/>
      <w:spacing w:before="240"/>
      <w:outlineLvl w:val="1"/>
    </w:pPr>
  </w:style>
  <w:style w:type="paragraph" w:styleId="Heading3">
    <w:name w:val="heading 3"/>
    <w:basedOn w:val="Heading2"/>
    <w:next w:val="Normal"/>
    <w:link w:val="Heading3Char"/>
    <w:uiPriority w:val="9"/>
    <w:unhideWhenUsed/>
    <w:qFormat/>
    <w:rsid w:val="00C3105E"/>
    <w:pPr>
      <w:spacing w:before="360"/>
      <w:outlineLvl w:val="2"/>
    </w:pPr>
    <w:rPr>
      <w:sz w:val="32"/>
      <w:szCs w:val="32"/>
    </w:rPr>
  </w:style>
  <w:style w:type="paragraph" w:styleId="Heading4">
    <w:name w:val="heading 4"/>
    <w:basedOn w:val="Heading3"/>
    <w:next w:val="Normal"/>
    <w:link w:val="Heading4Char"/>
    <w:uiPriority w:val="9"/>
    <w:unhideWhenUsed/>
    <w:qFormat/>
    <w:rsid w:val="00C3105E"/>
    <w:pPr>
      <w:outlineLvl w:val="3"/>
    </w:pPr>
    <w:rPr>
      <w:sz w:val="28"/>
      <w:szCs w:val="28"/>
    </w:rPr>
  </w:style>
  <w:style w:type="paragraph" w:styleId="Heading5">
    <w:name w:val="heading 5"/>
    <w:basedOn w:val="Normal"/>
    <w:next w:val="Normal"/>
    <w:link w:val="Heading5Char"/>
    <w:uiPriority w:val="9"/>
    <w:unhideWhenUsed/>
    <w:qFormat/>
    <w:rsid w:val="00C310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310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310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3105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310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3105E"/>
    <w:rPr>
      <w:rFonts w:ascii="Arial" w:hAnsi="Arial" w:cs="Arial"/>
      <w:color w:val="0D4644"/>
      <w:sz w:val="40"/>
      <w:szCs w:val="40"/>
    </w:rPr>
  </w:style>
  <w:style w:type="character" w:customStyle="1" w:styleId="Heading2Char">
    <w:name w:val="Heading 2 Char"/>
    <w:link w:val="Heading2"/>
    <w:uiPriority w:val="1"/>
    <w:rsid w:val="00C3105E"/>
    <w:rPr>
      <w:rFonts w:ascii="Arial" w:hAnsi="Arial" w:cs="Arial"/>
      <w:color w:val="0D4644"/>
      <w:sz w:val="40"/>
      <w:szCs w:val="40"/>
    </w:rPr>
  </w:style>
  <w:style w:type="character" w:customStyle="1" w:styleId="Heading3Char">
    <w:name w:val="Heading 3 Char"/>
    <w:link w:val="Heading3"/>
    <w:uiPriority w:val="9"/>
    <w:rsid w:val="00C3105E"/>
    <w:rPr>
      <w:rFonts w:ascii="Arial" w:hAnsi="Arial" w:cs="Arial"/>
      <w:color w:val="0D4644"/>
      <w:sz w:val="32"/>
      <w:szCs w:val="32"/>
    </w:rPr>
  </w:style>
  <w:style w:type="character" w:customStyle="1" w:styleId="Heading4Char">
    <w:name w:val="Heading 4 Char"/>
    <w:link w:val="Heading4"/>
    <w:uiPriority w:val="9"/>
    <w:rsid w:val="00C3105E"/>
    <w:rPr>
      <w:rFonts w:ascii="Arial" w:hAnsi="Arial" w:cs="Arial"/>
      <w:color w:val="0D4644"/>
      <w:sz w:val="28"/>
      <w:szCs w:val="28"/>
    </w:rPr>
  </w:style>
  <w:style w:type="character" w:customStyle="1" w:styleId="Heading5Char">
    <w:name w:val="Heading 5 Char"/>
    <w:link w:val="Heading5"/>
    <w:uiPriority w:val="9"/>
    <w:rsid w:val="00C3105E"/>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C3105E"/>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C3105E"/>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C3105E"/>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C3105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310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C3105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310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C3105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3105E"/>
    <w:rPr>
      <w:b/>
      <w:bCs/>
    </w:rPr>
  </w:style>
  <w:style w:type="character" w:styleId="Emphasis">
    <w:name w:val="Emphasis"/>
    <w:uiPriority w:val="20"/>
    <w:qFormat/>
    <w:rsid w:val="00C3105E"/>
    <w:rPr>
      <w:i/>
      <w:iCs/>
    </w:rPr>
  </w:style>
  <w:style w:type="paragraph" w:styleId="NoSpacing">
    <w:name w:val="No Spacing"/>
    <w:basedOn w:val="Normal"/>
    <w:link w:val="NoSpacingChar"/>
    <w:uiPriority w:val="1"/>
    <w:qFormat/>
    <w:rsid w:val="00C3105E"/>
    <w:rPr>
      <w:rFonts w:asciiTheme="minorHAnsi" w:hAnsiTheme="minorHAnsi"/>
      <w:color w:val="auto"/>
    </w:rPr>
  </w:style>
  <w:style w:type="character" w:customStyle="1" w:styleId="NoSpacingChar">
    <w:name w:val="No Spacing Char"/>
    <w:link w:val="NoSpacing"/>
    <w:uiPriority w:val="1"/>
    <w:rsid w:val="00C3105E"/>
  </w:style>
  <w:style w:type="paragraph" w:styleId="ListParagraph">
    <w:name w:val="List Paragraph"/>
    <w:aliases w:val="EOT List Paragraph"/>
    <w:link w:val="ListParagraphChar"/>
    <w:uiPriority w:val="1"/>
    <w:qFormat/>
    <w:rsid w:val="00C3105E"/>
    <w:pPr>
      <w:numPr>
        <w:numId w:val="2"/>
      </w:numPr>
      <w:spacing w:after="200" w:line="280" w:lineRule="exact"/>
      <w:ind w:left="709" w:hanging="357"/>
      <w:contextualSpacing/>
    </w:pPr>
    <w:rPr>
      <w:rFonts w:ascii="Arial" w:hAnsi="Arial"/>
      <w:color w:val="0D4644"/>
    </w:rPr>
  </w:style>
  <w:style w:type="paragraph" w:styleId="Quote">
    <w:name w:val="Quote"/>
    <w:basedOn w:val="Normal"/>
    <w:next w:val="Normal"/>
    <w:link w:val="QuoteChar"/>
    <w:uiPriority w:val="29"/>
    <w:qFormat/>
    <w:rsid w:val="00C3105E"/>
    <w:pPr>
      <w:ind w:left="567" w:right="567"/>
    </w:pPr>
    <w:rPr>
      <w:sz w:val="20"/>
      <w:szCs w:val="20"/>
    </w:rPr>
  </w:style>
  <w:style w:type="character" w:customStyle="1" w:styleId="QuoteChar">
    <w:name w:val="Quote Char"/>
    <w:link w:val="Quote"/>
    <w:uiPriority w:val="29"/>
    <w:rsid w:val="00C3105E"/>
    <w:rPr>
      <w:rFonts w:ascii="Arial" w:hAnsi="Arial"/>
      <w:color w:val="0D4644"/>
      <w:sz w:val="20"/>
      <w:szCs w:val="20"/>
    </w:rPr>
  </w:style>
  <w:style w:type="paragraph" w:styleId="IntenseQuote">
    <w:name w:val="Intense Quote"/>
    <w:basedOn w:val="Normal"/>
    <w:next w:val="Normal"/>
    <w:link w:val="IntenseQuoteChar"/>
    <w:uiPriority w:val="30"/>
    <w:qFormat/>
    <w:rsid w:val="00C3105E"/>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C3105E"/>
    <w:rPr>
      <w:b/>
      <w:bCs/>
      <w:i/>
      <w:iCs/>
      <w:color w:val="4F81BD" w:themeColor="accent1"/>
    </w:rPr>
  </w:style>
  <w:style w:type="character" w:styleId="SubtleEmphasis">
    <w:name w:val="Subtle Emphasis"/>
    <w:uiPriority w:val="19"/>
    <w:qFormat/>
    <w:rsid w:val="00C3105E"/>
    <w:rPr>
      <w:i/>
      <w:iCs/>
      <w:color w:val="808080" w:themeColor="text1" w:themeTint="7F"/>
    </w:rPr>
  </w:style>
  <w:style w:type="character" w:styleId="IntenseEmphasis">
    <w:name w:val="Intense Emphasis"/>
    <w:uiPriority w:val="21"/>
    <w:qFormat/>
    <w:rsid w:val="00C3105E"/>
    <w:rPr>
      <w:b/>
      <w:bCs/>
      <w:i/>
      <w:iCs/>
      <w:color w:val="4F81BD" w:themeColor="accent1"/>
    </w:rPr>
  </w:style>
  <w:style w:type="character" w:styleId="SubtleReference">
    <w:name w:val="Subtle Reference"/>
    <w:uiPriority w:val="31"/>
    <w:qFormat/>
    <w:rsid w:val="00C3105E"/>
    <w:rPr>
      <w:smallCaps/>
      <w:color w:val="C0504D" w:themeColor="accent2"/>
      <w:u w:val="single"/>
    </w:rPr>
  </w:style>
  <w:style w:type="character" w:styleId="IntenseReference">
    <w:name w:val="Intense Reference"/>
    <w:uiPriority w:val="32"/>
    <w:qFormat/>
    <w:rsid w:val="00C3105E"/>
    <w:rPr>
      <w:b/>
      <w:bCs/>
      <w:smallCaps/>
      <w:color w:val="C0504D" w:themeColor="accent2"/>
      <w:spacing w:val="5"/>
      <w:u w:val="single"/>
    </w:rPr>
  </w:style>
  <w:style w:type="character" w:styleId="BookTitle">
    <w:name w:val="Book Title"/>
    <w:uiPriority w:val="33"/>
    <w:qFormat/>
    <w:rsid w:val="00C3105E"/>
    <w:rPr>
      <w:b/>
      <w:bCs/>
      <w:smallCaps/>
      <w:spacing w:val="5"/>
    </w:rPr>
  </w:style>
  <w:style w:type="paragraph" w:styleId="TOCHeading">
    <w:name w:val="TOC Heading"/>
    <w:basedOn w:val="Heading1"/>
    <w:next w:val="Normal"/>
    <w:uiPriority w:val="39"/>
    <w:unhideWhenUsed/>
    <w:qFormat/>
    <w:rsid w:val="00C3105E"/>
    <w:pPr>
      <w:keepLines/>
      <w:spacing w:before="480"/>
      <w:outlineLvl w:val="9"/>
    </w:pPr>
    <w:rPr>
      <w:rFonts w:asciiTheme="majorHAnsi" w:eastAsiaTheme="majorEastAsia" w:hAnsiTheme="majorHAnsi" w:cstheme="majorBidi"/>
      <w:b/>
      <w:color w:val="365F91" w:themeColor="accent1" w:themeShade="BF"/>
      <w:sz w:val="28"/>
      <w:szCs w:val="28"/>
    </w:rPr>
  </w:style>
  <w:style w:type="paragraph" w:customStyle="1" w:styleId="Normal-numbered">
    <w:name w:val="Normal-numbered"/>
    <w:basedOn w:val="Normal"/>
    <w:link w:val="Normal-numberedChar"/>
    <w:rsid w:val="007879BC"/>
    <w:pPr>
      <w:spacing w:after="240" w:line="276" w:lineRule="auto"/>
      <w:ind w:left="426" w:hanging="426"/>
    </w:pPr>
    <w:rPr>
      <w:rFonts w:ascii="Gill Sans MT" w:hAnsi="Gill Sans MT"/>
    </w:rPr>
  </w:style>
  <w:style w:type="character" w:customStyle="1" w:styleId="Normal-numberedChar">
    <w:name w:val="Normal-numbered Char"/>
    <w:link w:val="Normal-numbered"/>
    <w:rsid w:val="007879BC"/>
    <w:rPr>
      <w:rFonts w:ascii="Gill Sans MT" w:hAnsi="Gill Sans MT"/>
      <w:sz w:val="24"/>
      <w:szCs w:val="24"/>
    </w:rPr>
  </w:style>
  <w:style w:type="paragraph" w:customStyle="1" w:styleId="OADC">
    <w:name w:val="OADC"/>
    <w:basedOn w:val="BodyText"/>
    <w:link w:val="OADCChar"/>
    <w:rsid w:val="00085AE0"/>
    <w:pPr>
      <w:ind w:left="993" w:right="-35"/>
      <w:jc w:val="center"/>
    </w:pPr>
    <w:rPr>
      <w:b/>
      <w:noProof/>
      <w:sz w:val="32"/>
      <w:szCs w:val="32"/>
    </w:rPr>
  </w:style>
  <w:style w:type="character" w:customStyle="1" w:styleId="OADCChar">
    <w:name w:val="OADC Char"/>
    <w:link w:val="OADC"/>
    <w:rsid w:val="00085AE0"/>
    <w:rPr>
      <w:rFonts w:ascii="Century Schoolbook" w:hAnsi="Century Schoolbook" w:cs="Arial"/>
      <w:b/>
      <w:noProof/>
      <w:sz w:val="32"/>
      <w:szCs w:val="32"/>
    </w:rPr>
  </w:style>
  <w:style w:type="paragraph" w:styleId="BodyText">
    <w:name w:val="Body Text"/>
    <w:aliases w:val="EOT - Body"/>
    <w:basedOn w:val="Normal"/>
    <w:link w:val="BodyTextChar"/>
    <w:uiPriority w:val="1"/>
    <w:qFormat/>
    <w:rsid w:val="00C3105E"/>
  </w:style>
  <w:style w:type="character" w:customStyle="1" w:styleId="BodyTextChar">
    <w:name w:val="Body Text Char"/>
    <w:aliases w:val="EOT - Body Char"/>
    <w:basedOn w:val="DefaultParagraphFont"/>
    <w:link w:val="BodyText"/>
    <w:uiPriority w:val="1"/>
    <w:rsid w:val="00C3105E"/>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085AE0"/>
    <w:pPr>
      <w:ind w:left="1259" w:right="-471"/>
      <w:jc w:val="center"/>
    </w:pPr>
    <w:rPr>
      <w:sz w:val="18"/>
      <w:szCs w:val="20"/>
    </w:rPr>
  </w:style>
  <w:style w:type="character" w:customStyle="1" w:styleId="OADCAddressDetailsChar">
    <w:name w:val="OADC Address Details Char"/>
    <w:link w:val="OADCAddressDetails"/>
    <w:rsid w:val="00085AE0"/>
    <w:rPr>
      <w:rFonts w:ascii="Century Schoolbook" w:hAnsi="Century Schoolbook" w:cs="Arial"/>
      <w:sz w:val="18"/>
    </w:rPr>
  </w:style>
  <w:style w:type="paragraph" w:customStyle="1" w:styleId="Quote-sub-section">
    <w:name w:val="Quote - sub-section"/>
    <w:basedOn w:val="Normal"/>
    <w:link w:val="Quote-sub-sectionChar"/>
    <w:qFormat/>
    <w:rsid w:val="00C3105E"/>
    <w:pPr>
      <w:ind w:left="1134" w:right="520" w:hanging="567"/>
    </w:pPr>
    <w:rPr>
      <w:sz w:val="20"/>
      <w:szCs w:val="20"/>
    </w:rPr>
  </w:style>
  <w:style w:type="character" w:customStyle="1" w:styleId="Quote-sub-sectionChar">
    <w:name w:val="Quote - sub-section Char"/>
    <w:basedOn w:val="DefaultParagraphFont"/>
    <w:link w:val="Quote-sub-section"/>
    <w:rsid w:val="00C3105E"/>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C3105E"/>
  </w:style>
  <w:style w:type="character" w:customStyle="1" w:styleId="TabletextChar">
    <w:name w:val="Table text Char"/>
    <w:link w:val="Tabletext"/>
    <w:rsid w:val="00C3105E"/>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spacing w:after="240"/>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3"/>
      </w:numPr>
      <w:pBdr>
        <w:left w:val="single" w:sz="18" w:space="4" w:color="BFBFBF"/>
      </w:pBdr>
      <w:shd w:val="clear" w:color="auto" w:fill="F2F2F2"/>
      <w:spacing w:before="360" w:after="120"/>
      <w:ind w:left="0" w:firstLine="0"/>
    </w:pPr>
    <w:rPr>
      <w:lang w:eastAsia="en-US"/>
    </w:rPr>
  </w:style>
  <w:style w:type="character" w:customStyle="1" w:styleId="RecommendationheadChar">
    <w:name w:val="Recommendation head Char"/>
    <w:link w:val="Recommendationhead"/>
    <w:rsid w:val="00085AE0"/>
    <w:rPr>
      <w:rFonts w:ascii="Arial" w:hAnsi="Arial" w:cs="Arial"/>
      <w:sz w:val="22"/>
      <w:szCs w:val="22"/>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after="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spacing w:line="360" w:lineRule="auto"/>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C3105E"/>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C3105E"/>
    <w:pPr>
      <w:tabs>
        <w:tab w:val="right" w:pos="9270"/>
      </w:tabs>
      <w:spacing w:after="100"/>
      <w:ind w:left="709" w:hanging="425"/>
    </w:pPr>
    <w:rPr>
      <w:rFonts w:eastAsia="Arial"/>
      <w:bCs/>
    </w:rPr>
  </w:style>
  <w:style w:type="paragraph" w:styleId="TOC3">
    <w:name w:val="toc 3"/>
    <w:basedOn w:val="Normal"/>
    <w:uiPriority w:val="39"/>
    <w:qFormat/>
    <w:rsid w:val="00C3105E"/>
    <w:pPr>
      <w:spacing w:before="178"/>
      <w:ind w:left="1098" w:hanging="535"/>
    </w:pPr>
    <w:rPr>
      <w:rFonts w:eastAsia="Arial"/>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pBdr>
        <w:bottom w:val="none" w:sz="0" w:space="0" w:color="auto"/>
      </w:pBdr>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C3105E"/>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qFormat/>
    <w:rsid w:val="00C3105E"/>
    <w:pPr>
      <w:ind w:left="567" w:hanging="567"/>
    </w:pPr>
    <w:rPr>
      <w:sz w:val="18"/>
      <w:szCs w:val="20"/>
    </w:rPr>
  </w:style>
  <w:style w:type="character" w:customStyle="1" w:styleId="FootnoteTextChar">
    <w:name w:val="Footnote Text Char"/>
    <w:basedOn w:val="DefaultParagraphFont"/>
    <w:link w:val="FootnoteText"/>
    <w:rsid w:val="00C3105E"/>
    <w:rPr>
      <w:rFonts w:ascii="Arial" w:hAnsi="Arial"/>
      <w:color w:val="0D4644"/>
      <w:sz w:val="18"/>
      <w:szCs w:val="20"/>
    </w:rPr>
  </w:style>
  <w:style w:type="character" w:styleId="FootnoteReference">
    <w:name w:val="footnote reference"/>
    <w:basedOn w:val="DefaultParagraphFont"/>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customStyle="1" w:styleId="Normal-bulleted">
    <w:name w:val="Normal-bulleted"/>
    <w:basedOn w:val="Normal"/>
    <w:link w:val="Normal-bulletedChar"/>
    <w:qFormat/>
    <w:rsid w:val="00C3105E"/>
    <w:pPr>
      <w:numPr>
        <w:numId w:val="3"/>
      </w:numPr>
      <w:spacing w:line="276" w:lineRule="auto"/>
      <w:ind w:left="360"/>
      <w:contextualSpacing/>
    </w:pPr>
  </w:style>
  <w:style w:type="character" w:customStyle="1" w:styleId="Normal-bulletedChar">
    <w:name w:val="Normal-bulleted Char"/>
    <w:link w:val="Normal-bulleted"/>
    <w:rsid w:val="00C3105E"/>
    <w:rPr>
      <w:rFonts w:ascii="Arial" w:hAnsi="Arial"/>
      <w:color w:val="0D4644"/>
    </w:rPr>
  </w:style>
  <w:style w:type="paragraph" w:customStyle="1" w:styleId="Name">
    <w:name w:val="Name"/>
    <w:basedOn w:val="BodyText"/>
    <w:link w:val="NameChar"/>
    <w:qFormat/>
    <w:rsid w:val="00C3105E"/>
    <w:pPr>
      <w:spacing w:before="1200" w:after="0" w:line="240" w:lineRule="auto"/>
    </w:pPr>
    <w:rPr>
      <w:b/>
    </w:rPr>
  </w:style>
  <w:style w:type="character" w:customStyle="1" w:styleId="NameChar">
    <w:name w:val="Name Char"/>
    <w:basedOn w:val="DefaultParagraphFont"/>
    <w:link w:val="Name"/>
    <w:rsid w:val="00C3105E"/>
    <w:rPr>
      <w:rFonts w:ascii="Arial" w:hAnsi="Arial"/>
      <w:b/>
      <w:color w:val="0D4644"/>
    </w:rPr>
  </w:style>
  <w:style w:type="paragraph" w:customStyle="1" w:styleId="JobTitle">
    <w:name w:val="Job Title"/>
    <w:basedOn w:val="BodyText"/>
    <w:link w:val="JobTitleChar"/>
    <w:qFormat/>
    <w:rsid w:val="00C3105E"/>
    <w:rPr>
      <w:smallCaps/>
    </w:rPr>
  </w:style>
  <w:style w:type="character" w:customStyle="1" w:styleId="JobTitleChar">
    <w:name w:val="Job Title Char"/>
    <w:basedOn w:val="DefaultParagraphFont"/>
    <w:link w:val="JobTitle"/>
    <w:rsid w:val="00C3105E"/>
    <w:rPr>
      <w:rFonts w:ascii="Arial" w:hAnsi="Arial"/>
      <w:smallCaps/>
      <w:color w:val="0D4644"/>
    </w:rPr>
  </w:style>
  <w:style w:type="paragraph" w:customStyle="1" w:styleId="Example">
    <w:name w:val="Example"/>
    <w:basedOn w:val="ListParagraph"/>
    <w:link w:val="ExampleChar"/>
    <w:qFormat/>
    <w:rsid w:val="00C3105E"/>
    <w:pPr>
      <w:keepLines/>
      <w:numPr>
        <w:numId w:val="0"/>
      </w:numPr>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ExampleChar">
    <w:name w:val="Example Char"/>
    <w:basedOn w:val="ListParagraphChar"/>
    <w:link w:val="Example"/>
    <w:rsid w:val="00C3105E"/>
    <w:rPr>
      <w:rFonts w:ascii="Arial" w:hAnsi="Arial" w:cs="Arial"/>
      <w:color w:val="0D4644"/>
      <w:sz w:val="24"/>
      <w:szCs w:val="24"/>
      <w:shd w:val="clear" w:color="auto" w:fill="D9D9D9" w:themeFill="background1" w:themeFillShade="D9"/>
    </w:rPr>
  </w:style>
  <w:style w:type="paragraph" w:customStyle="1" w:styleId="Examplegap">
    <w:name w:val="Example gap"/>
    <w:basedOn w:val="Normal"/>
    <w:link w:val="ExamplegapChar"/>
    <w:qFormat/>
    <w:rsid w:val="00C3105E"/>
    <w:pPr>
      <w:spacing w:after="0" w:line="240" w:lineRule="auto"/>
    </w:pPr>
    <w:rPr>
      <w:rFonts w:cs="Arial"/>
      <w:color w:val="auto"/>
      <w:sz w:val="16"/>
      <w:szCs w:val="16"/>
    </w:rPr>
  </w:style>
  <w:style w:type="character" w:customStyle="1" w:styleId="ExamplegapChar">
    <w:name w:val="Example gap Char"/>
    <w:basedOn w:val="DefaultParagraphFont"/>
    <w:link w:val="Examplegap"/>
    <w:rsid w:val="00C3105E"/>
    <w:rPr>
      <w:rFonts w:ascii="Arial" w:hAnsi="Arial" w:cs="Arial"/>
      <w:sz w:val="16"/>
      <w:szCs w:val="16"/>
    </w:rPr>
  </w:style>
  <w:style w:type="paragraph" w:customStyle="1" w:styleId="TableParagraph">
    <w:name w:val="Table Paragraph"/>
    <w:basedOn w:val="Normal"/>
    <w:uiPriority w:val="1"/>
    <w:qFormat/>
    <w:rsid w:val="00C3105E"/>
  </w:style>
  <w:style w:type="paragraph" w:customStyle="1" w:styleId="EOTDocumenttitle">
    <w:name w:val="EOT Document title"/>
    <w:basedOn w:val="Normal"/>
    <w:uiPriority w:val="1"/>
    <w:qFormat/>
    <w:rsid w:val="00C3105E"/>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C3105E"/>
    <w:pPr>
      <w:keepNext/>
      <w:spacing w:line="440" w:lineRule="exact"/>
    </w:pPr>
    <w:rPr>
      <w:rFonts w:cs="Arial"/>
      <w:sz w:val="32"/>
      <w:szCs w:val="32"/>
    </w:rPr>
  </w:style>
  <w:style w:type="paragraph" w:customStyle="1" w:styleId="EOT-Contents">
    <w:name w:val="EOT - Contents"/>
    <w:basedOn w:val="Normal"/>
    <w:uiPriority w:val="1"/>
    <w:qFormat/>
    <w:rsid w:val="00C3105E"/>
    <w:pPr>
      <w:tabs>
        <w:tab w:val="left" w:pos="284"/>
        <w:tab w:val="right" w:pos="10773"/>
      </w:tabs>
      <w:spacing w:after="100"/>
      <w:ind w:left="284"/>
    </w:pPr>
  </w:style>
  <w:style w:type="paragraph" w:customStyle="1" w:styleId="EOT-Contentssectionhead">
    <w:name w:val="EOT - Contents section head"/>
    <w:basedOn w:val="EOT-Contents"/>
    <w:uiPriority w:val="1"/>
    <w:qFormat/>
    <w:rsid w:val="00C3105E"/>
    <w:pPr>
      <w:spacing w:before="200" w:after="200"/>
      <w:ind w:left="0"/>
    </w:pPr>
    <w:rPr>
      <w:b/>
      <w:bCs/>
    </w:rPr>
  </w:style>
  <w:style w:type="paragraph" w:customStyle="1" w:styleId="EOT-Subheadingunderlined">
    <w:name w:val="EOT - Subheading underlined"/>
    <w:uiPriority w:val="1"/>
    <w:qFormat/>
    <w:rsid w:val="00C3105E"/>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C3105E"/>
    <w:pPr>
      <w:numPr>
        <w:numId w:val="40"/>
      </w:numPr>
      <w:spacing w:line="280" w:lineRule="exact"/>
    </w:pPr>
    <w:rPr>
      <w:rFonts w:ascii="Arial" w:eastAsia="Times New Roman" w:hAnsi="Arial"/>
      <w:color w:val="0D4644"/>
    </w:rPr>
  </w:style>
  <w:style w:type="paragraph" w:customStyle="1" w:styleId="EOTRecommendationpara">
    <w:name w:val="EOT Recommendation para"/>
    <w:uiPriority w:val="1"/>
    <w:qFormat/>
    <w:rsid w:val="00C3105E"/>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C3105E"/>
    <w:rPr>
      <w:rFonts w:ascii="Arial" w:hAnsi="Arial" w:cs="Arial"/>
      <w:color w:val="0D4644"/>
      <w:sz w:val="40"/>
      <w:szCs w:val="40"/>
    </w:rPr>
  </w:style>
  <w:style w:type="paragraph" w:customStyle="1" w:styleId="EOTCaseStudyBody">
    <w:name w:val="EOT Case Study Body"/>
    <w:basedOn w:val="BodyText"/>
    <w:uiPriority w:val="1"/>
    <w:qFormat/>
    <w:rsid w:val="00C3105E"/>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C3105E"/>
    <w:pPr>
      <w:keepNext/>
    </w:pPr>
    <w:rPr>
      <w:color w:val="0D4644"/>
      <w:sz w:val="32"/>
      <w:szCs w:val="40"/>
    </w:rPr>
  </w:style>
  <w:style w:type="paragraph" w:customStyle="1" w:styleId="Frontpagefootertop">
    <w:name w:val="Front page footer top"/>
    <w:basedOn w:val="Normal"/>
    <w:link w:val="FrontpagefootertopChar"/>
    <w:uiPriority w:val="1"/>
    <w:qFormat/>
    <w:rsid w:val="00C3105E"/>
    <w:pPr>
      <w:pBdr>
        <w:top w:val="single" w:sz="4" w:space="1" w:color="auto"/>
      </w:pBdr>
      <w:spacing w:before="840"/>
    </w:pPr>
    <w:rPr>
      <w:b/>
      <w:sz w:val="20"/>
      <w:szCs w:val="20"/>
    </w:rPr>
  </w:style>
  <w:style w:type="character" w:customStyle="1" w:styleId="FrontpagefootertopChar">
    <w:name w:val="Front page footer top Char"/>
    <w:basedOn w:val="DefaultParagraphFont"/>
    <w:link w:val="Frontpagefootertop"/>
    <w:uiPriority w:val="1"/>
    <w:rsid w:val="00C3105E"/>
    <w:rPr>
      <w:rFonts w:ascii="Arial" w:hAnsi="Arial"/>
      <w:b/>
      <w:color w:val="0D4644"/>
      <w:sz w:val="20"/>
      <w:szCs w:val="20"/>
    </w:rPr>
  </w:style>
  <w:style w:type="paragraph" w:customStyle="1" w:styleId="FrontpageEOTname">
    <w:name w:val="Front page EOT name"/>
    <w:basedOn w:val="Normal"/>
    <w:link w:val="FrontpageEOTnameChar"/>
    <w:uiPriority w:val="1"/>
    <w:qFormat/>
    <w:rsid w:val="00C3105E"/>
    <w:pPr>
      <w:pBdr>
        <w:top w:val="single" w:sz="4" w:space="1" w:color="auto"/>
      </w:pBdr>
      <w:spacing w:before="840" w:after="0" w:line="240" w:lineRule="auto"/>
    </w:pPr>
    <w:rPr>
      <w:b/>
      <w:sz w:val="20"/>
      <w:szCs w:val="20"/>
    </w:rPr>
  </w:style>
  <w:style w:type="character" w:customStyle="1" w:styleId="FrontpageEOTnameChar">
    <w:name w:val="Front page EOT name Char"/>
    <w:basedOn w:val="DefaultParagraphFont"/>
    <w:link w:val="FrontpageEOTname"/>
    <w:uiPriority w:val="1"/>
    <w:rsid w:val="00C3105E"/>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C3105E"/>
    <w:pPr>
      <w:spacing w:after="180" w:line="240" w:lineRule="auto"/>
    </w:pPr>
    <w:rPr>
      <w:spacing w:val="-4"/>
      <w:sz w:val="20"/>
      <w:szCs w:val="20"/>
    </w:rPr>
  </w:style>
  <w:style w:type="character" w:customStyle="1" w:styleId="FrontpagefootertextwithspacingChar">
    <w:name w:val="Front page footer text with spacing Char"/>
    <w:basedOn w:val="DefaultParagraphFont"/>
    <w:link w:val="Frontpagefootertextwithspacing"/>
    <w:uiPriority w:val="1"/>
    <w:rsid w:val="00C3105E"/>
    <w:rPr>
      <w:rFonts w:ascii="Arial" w:hAnsi="Arial"/>
      <w:color w:val="0D4644"/>
      <w:spacing w:val="-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C3105E"/>
    <w:pPr>
      <w:spacing w:after="0"/>
    </w:pPr>
  </w:style>
  <w:style w:type="character" w:customStyle="1" w:styleId="Frontpagefooter-textwithoutspacingChar">
    <w:name w:val="Front page footer-text without spacing Char"/>
    <w:basedOn w:val="FrontpagefootertextwithspacingChar"/>
    <w:link w:val="Frontpagefooter-textwithoutspacing"/>
    <w:uiPriority w:val="1"/>
    <w:rsid w:val="00C3105E"/>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C3105E"/>
    <w:pPr>
      <w:spacing w:before="360" w:after="0" w:line="240" w:lineRule="auto"/>
    </w:pPr>
    <w:rPr>
      <w:b/>
      <w:color w:val="F034BF"/>
    </w:rPr>
  </w:style>
  <w:style w:type="character" w:customStyle="1" w:styleId="Frontpagefooter-websiteChar">
    <w:name w:val="Front page footer - website Char"/>
    <w:basedOn w:val="DefaultParagraphFont"/>
    <w:link w:val="Frontpagefooter-website"/>
    <w:uiPriority w:val="1"/>
    <w:rsid w:val="00C3105E"/>
    <w:rPr>
      <w:rFonts w:ascii="Arial" w:hAnsi="Arial"/>
      <w:b/>
      <w:color w:val="F034BF"/>
    </w:rPr>
  </w:style>
  <w:style w:type="paragraph" w:customStyle="1" w:styleId="Quotebullet">
    <w:name w:val="Quote bullet"/>
    <w:basedOn w:val="Normal-bulleted"/>
    <w:link w:val="QuotebulletChar"/>
    <w:uiPriority w:val="1"/>
    <w:qFormat/>
    <w:rsid w:val="00C3105E"/>
    <w:pPr>
      <w:numPr>
        <w:numId w:val="7"/>
      </w:numPr>
      <w:ind w:left="720" w:right="567" w:hanging="360"/>
    </w:pPr>
    <w:rPr>
      <w:sz w:val="20"/>
      <w:szCs w:val="20"/>
    </w:rPr>
  </w:style>
  <w:style w:type="character" w:customStyle="1" w:styleId="QuotebulletChar">
    <w:name w:val="Quote bullet Char"/>
    <w:basedOn w:val="Normal-bulletedChar"/>
    <w:link w:val="Quotebullet"/>
    <w:uiPriority w:val="1"/>
    <w:rsid w:val="00C3105E"/>
    <w:rPr>
      <w:rFonts w:ascii="Arial" w:hAnsi="Arial"/>
      <w:color w:val="0D4644"/>
      <w:sz w:val="20"/>
      <w:szCs w:val="20"/>
    </w:rPr>
  </w:style>
  <w:style w:type="paragraph" w:customStyle="1" w:styleId="Quote-subsection">
    <w:name w:val="Quote - subsection"/>
    <w:basedOn w:val="Quote-sub-section"/>
    <w:link w:val="Quote-subsectionChar"/>
    <w:uiPriority w:val="1"/>
    <w:qFormat/>
    <w:rsid w:val="00C3105E"/>
    <w:pPr>
      <w:numPr>
        <w:numId w:val="1"/>
      </w:numPr>
      <w:ind w:left="1560" w:hanging="426"/>
    </w:pPr>
  </w:style>
  <w:style w:type="character" w:customStyle="1" w:styleId="Quote-subsectionChar">
    <w:name w:val="Quote - subsection Char"/>
    <w:basedOn w:val="Quote-sub-sectionChar"/>
    <w:link w:val="Quote-subsection"/>
    <w:uiPriority w:val="1"/>
    <w:rsid w:val="00C3105E"/>
    <w:rPr>
      <w:rFonts w:ascii="Arial" w:hAnsi="Arial"/>
      <w:color w:val="0D4644"/>
      <w:sz w:val="20"/>
      <w:szCs w:val="20"/>
    </w:rPr>
  </w:style>
  <w:style w:type="paragraph" w:styleId="TOC4">
    <w:name w:val="toc 4"/>
    <w:basedOn w:val="Normal"/>
    <w:uiPriority w:val="1"/>
    <w:qFormat/>
    <w:rsid w:val="00C3105E"/>
    <w:pPr>
      <w:ind w:left="1130"/>
    </w:pPr>
    <w:rPr>
      <w:rFonts w:eastAsia="Arial"/>
      <w:sz w:val="20"/>
      <w:szCs w:val="20"/>
    </w:rPr>
  </w:style>
  <w:style w:type="paragraph" w:styleId="TOC5">
    <w:name w:val="toc 5"/>
    <w:basedOn w:val="Normal"/>
    <w:uiPriority w:val="1"/>
    <w:qFormat/>
    <w:rsid w:val="00C3105E"/>
    <w:pPr>
      <w:ind w:left="1698"/>
    </w:pPr>
    <w:rPr>
      <w:rFonts w:eastAsia="Arial"/>
      <w:sz w:val="20"/>
      <w:szCs w:val="20"/>
    </w:rPr>
  </w:style>
  <w:style w:type="paragraph" w:styleId="TOC6">
    <w:name w:val="toc 6"/>
    <w:basedOn w:val="Normal"/>
    <w:uiPriority w:val="1"/>
    <w:qFormat/>
    <w:rsid w:val="00C3105E"/>
    <w:pPr>
      <w:spacing w:before="598"/>
      <w:ind w:left="3672"/>
    </w:pPr>
    <w:rPr>
      <w:rFonts w:eastAsia="Arial"/>
      <w:sz w:val="18"/>
      <w:szCs w:val="18"/>
    </w:rPr>
  </w:style>
  <w:style w:type="paragraph" w:styleId="Caption">
    <w:name w:val="caption"/>
    <w:basedOn w:val="Normal"/>
    <w:next w:val="Normal"/>
    <w:uiPriority w:val="35"/>
    <w:unhideWhenUsed/>
    <w:qFormat/>
    <w:rsid w:val="00C3105E"/>
    <w:pPr>
      <w:keepNext/>
    </w:pPr>
    <w:rPr>
      <w:b/>
      <w:bCs/>
      <w:sz w:val="20"/>
      <w:szCs w:val="20"/>
    </w:rPr>
  </w:style>
  <w:style w:type="paragraph" w:styleId="Footer">
    <w:name w:val="footer"/>
    <w:basedOn w:val="Normal"/>
    <w:link w:val="FooterChar"/>
    <w:uiPriority w:val="99"/>
    <w:rsid w:val="00A04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497"/>
    <w:rPr>
      <w:rFonts w:ascii="Arial" w:hAnsi="Arial"/>
      <w:color w:val="0D4644"/>
    </w:rPr>
  </w:style>
  <w:style w:type="paragraph" w:customStyle="1" w:styleId="ListBullet1">
    <w:name w:val="List Bullet1"/>
    <w:basedOn w:val="Quotebullet"/>
    <w:link w:val="ListbulletChar"/>
    <w:uiPriority w:val="1"/>
    <w:qFormat/>
    <w:rsid w:val="00C3105E"/>
    <w:pPr>
      <w:numPr>
        <w:numId w:val="0"/>
      </w:numPr>
      <w:ind w:left="720" w:hanging="360"/>
    </w:pPr>
  </w:style>
  <w:style w:type="character" w:customStyle="1" w:styleId="ListbulletChar">
    <w:name w:val="List bullet Char"/>
    <w:basedOn w:val="QuotebulletChar"/>
    <w:link w:val="ListBullet1"/>
    <w:uiPriority w:val="1"/>
    <w:rsid w:val="00C3105E"/>
    <w:rPr>
      <w:rFonts w:ascii="Arial" w:hAnsi="Arial"/>
      <w:color w:val="0D4644"/>
      <w:sz w:val="20"/>
      <w:szCs w:val="20"/>
    </w:rPr>
  </w:style>
  <w:style w:type="table" w:styleId="Table3Deffects3">
    <w:name w:val="Table 3D effects 3"/>
    <w:basedOn w:val="TableNormal"/>
    <w:rsid w:val="005D0A01"/>
    <w:pPr>
      <w:widowControl/>
      <w:spacing w:after="200"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098">
      <w:bodyDiv w:val="1"/>
      <w:marLeft w:val="0"/>
      <w:marRight w:val="0"/>
      <w:marTop w:val="0"/>
      <w:marBottom w:val="0"/>
      <w:divBdr>
        <w:top w:val="none" w:sz="0" w:space="0" w:color="auto"/>
        <w:left w:val="none" w:sz="0" w:space="0" w:color="auto"/>
        <w:bottom w:val="none" w:sz="0" w:space="0" w:color="auto"/>
        <w:right w:val="none" w:sz="0" w:space="0" w:color="auto"/>
      </w:divBdr>
    </w:div>
    <w:div w:id="561792941">
      <w:bodyDiv w:val="1"/>
      <w:marLeft w:val="0"/>
      <w:marRight w:val="0"/>
      <w:marTop w:val="0"/>
      <w:marBottom w:val="0"/>
      <w:divBdr>
        <w:top w:val="none" w:sz="0" w:space="0" w:color="auto"/>
        <w:left w:val="none" w:sz="0" w:space="0" w:color="auto"/>
        <w:bottom w:val="none" w:sz="0" w:space="0" w:color="auto"/>
        <w:right w:val="none" w:sz="0" w:space="0" w:color="auto"/>
      </w:divBdr>
    </w:div>
    <w:div w:id="690952289">
      <w:bodyDiv w:val="1"/>
      <w:marLeft w:val="0"/>
      <w:marRight w:val="0"/>
      <w:marTop w:val="0"/>
      <w:marBottom w:val="0"/>
      <w:divBdr>
        <w:top w:val="none" w:sz="0" w:space="0" w:color="auto"/>
        <w:left w:val="none" w:sz="0" w:space="0" w:color="auto"/>
        <w:bottom w:val="none" w:sz="0" w:space="0" w:color="auto"/>
        <w:right w:val="none" w:sz="0" w:space="0" w:color="auto"/>
      </w:divBdr>
    </w:div>
    <w:div w:id="1077019236">
      <w:bodyDiv w:val="1"/>
      <w:marLeft w:val="0"/>
      <w:marRight w:val="0"/>
      <w:marTop w:val="0"/>
      <w:marBottom w:val="0"/>
      <w:divBdr>
        <w:top w:val="none" w:sz="0" w:space="0" w:color="auto"/>
        <w:left w:val="none" w:sz="0" w:space="0" w:color="auto"/>
        <w:bottom w:val="none" w:sz="0" w:space="0" w:color="auto"/>
        <w:right w:val="none" w:sz="0" w:space="0" w:color="auto"/>
      </w:divBdr>
      <w:divsChild>
        <w:div w:id="301036957">
          <w:marLeft w:val="0"/>
          <w:marRight w:val="0"/>
          <w:marTop w:val="100"/>
          <w:marBottom w:val="100"/>
          <w:divBdr>
            <w:top w:val="none" w:sz="0" w:space="0" w:color="auto"/>
            <w:left w:val="none" w:sz="0" w:space="0" w:color="auto"/>
            <w:bottom w:val="none" w:sz="0" w:space="0" w:color="auto"/>
            <w:right w:val="none" w:sz="0" w:space="0" w:color="auto"/>
          </w:divBdr>
          <w:divsChild>
            <w:div w:id="1069498840">
              <w:marLeft w:val="0"/>
              <w:marRight w:val="0"/>
              <w:marTop w:val="0"/>
              <w:marBottom w:val="0"/>
              <w:divBdr>
                <w:top w:val="none" w:sz="0" w:space="0" w:color="FFFFFF"/>
                <w:left w:val="none" w:sz="0" w:space="0" w:color="FFFFFF"/>
                <w:bottom w:val="single" w:sz="36" w:space="0" w:color="FFFFFF"/>
                <w:right w:val="none" w:sz="0" w:space="0" w:color="FFFFFF"/>
              </w:divBdr>
              <w:divsChild>
                <w:div w:id="62871026">
                  <w:marLeft w:val="0"/>
                  <w:marRight w:val="0"/>
                  <w:marTop w:val="0"/>
                  <w:marBottom w:val="0"/>
                  <w:divBdr>
                    <w:top w:val="none" w:sz="0" w:space="0" w:color="8FAEB8"/>
                    <w:left w:val="none" w:sz="0" w:space="0" w:color="8FAEB8"/>
                    <w:bottom w:val="single" w:sz="6" w:space="0" w:color="8FAEB8"/>
                    <w:right w:val="none" w:sz="0" w:space="0" w:color="8FAEB8"/>
                  </w:divBdr>
                  <w:divsChild>
                    <w:div w:id="1870604481">
                      <w:marLeft w:val="-300"/>
                      <w:marRight w:val="0"/>
                      <w:marTop w:val="0"/>
                      <w:marBottom w:val="0"/>
                      <w:divBdr>
                        <w:top w:val="none" w:sz="0" w:space="0" w:color="auto"/>
                        <w:left w:val="none" w:sz="0" w:space="0" w:color="auto"/>
                        <w:bottom w:val="none" w:sz="0" w:space="0" w:color="auto"/>
                        <w:right w:val="none" w:sz="0" w:space="0" w:color="auto"/>
                      </w:divBdr>
                      <w:divsChild>
                        <w:div w:id="1911189091">
                          <w:marLeft w:val="0"/>
                          <w:marRight w:val="0"/>
                          <w:marTop w:val="0"/>
                          <w:marBottom w:val="0"/>
                          <w:divBdr>
                            <w:top w:val="none" w:sz="0" w:space="0" w:color="auto"/>
                            <w:left w:val="none" w:sz="0" w:space="0" w:color="auto"/>
                            <w:bottom w:val="none" w:sz="0" w:space="0" w:color="auto"/>
                            <w:right w:val="none" w:sz="0" w:space="0" w:color="auto"/>
                          </w:divBdr>
                          <w:divsChild>
                            <w:div w:id="1816607227">
                              <w:marLeft w:val="0"/>
                              <w:marRight w:val="0"/>
                              <w:marTop w:val="0"/>
                              <w:marBottom w:val="0"/>
                              <w:divBdr>
                                <w:top w:val="none" w:sz="0" w:space="0" w:color="auto"/>
                                <w:left w:val="none" w:sz="0" w:space="0" w:color="auto"/>
                                <w:bottom w:val="none" w:sz="0" w:space="0" w:color="auto"/>
                                <w:right w:val="none" w:sz="0" w:space="0" w:color="auto"/>
                              </w:divBdr>
                              <w:divsChild>
                                <w:div w:id="142282526">
                                  <w:marLeft w:val="0"/>
                                  <w:marRight w:val="0"/>
                                  <w:marTop w:val="0"/>
                                  <w:marBottom w:val="0"/>
                                  <w:divBdr>
                                    <w:top w:val="none" w:sz="0" w:space="0" w:color="auto"/>
                                    <w:left w:val="none" w:sz="0" w:space="0" w:color="auto"/>
                                    <w:bottom w:val="none" w:sz="0" w:space="0" w:color="auto"/>
                                    <w:right w:val="none" w:sz="0" w:space="0" w:color="auto"/>
                                  </w:divBdr>
                                  <w:divsChild>
                                    <w:div w:id="11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03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1218">
          <w:marLeft w:val="0"/>
          <w:marRight w:val="0"/>
          <w:marTop w:val="0"/>
          <w:marBottom w:val="0"/>
          <w:divBdr>
            <w:top w:val="none" w:sz="0" w:space="0" w:color="auto"/>
            <w:left w:val="none" w:sz="0" w:space="0" w:color="auto"/>
            <w:bottom w:val="none" w:sz="0" w:space="0" w:color="auto"/>
            <w:right w:val="none" w:sz="0" w:space="0" w:color="auto"/>
          </w:divBdr>
          <w:divsChild>
            <w:div w:id="501165549">
              <w:marLeft w:val="0"/>
              <w:marRight w:val="0"/>
              <w:marTop w:val="225"/>
              <w:marBottom w:val="0"/>
              <w:divBdr>
                <w:top w:val="single" w:sz="6" w:space="8" w:color="ECECEC"/>
                <w:left w:val="single" w:sz="6" w:space="15" w:color="ECECEC"/>
                <w:bottom w:val="single" w:sz="6" w:space="0" w:color="ECECEC"/>
                <w:right w:val="single" w:sz="6" w:space="4" w:color="ECECEC"/>
              </w:divBdr>
              <w:divsChild>
                <w:div w:id="33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04905">
      <w:bodyDiv w:val="1"/>
      <w:marLeft w:val="0"/>
      <w:marRight w:val="0"/>
      <w:marTop w:val="0"/>
      <w:marBottom w:val="0"/>
      <w:divBdr>
        <w:top w:val="none" w:sz="0" w:space="0" w:color="auto"/>
        <w:left w:val="none" w:sz="0" w:space="0" w:color="auto"/>
        <w:bottom w:val="none" w:sz="0" w:space="0" w:color="auto"/>
        <w:right w:val="none" w:sz="0" w:space="0" w:color="auto"/>
      </w:divBdr>
    </w:div>
    <w:div w:id="19518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thenewdaily.com.au/money/2015/07/23/hockeys-plan-make-us-work-longer-wont-work/" TargetMode="External"/><Relationship Id="rId2" Type="http://schemas.openxmlformats.org/officeDocument/2006/relationships/hyperlink" Target="http://www.themercury.com.au/news/tasmania/auditor-general-mike-blake-to-probe-public-service-job-cuts/story-fnj4f7k1-1227432945539" TargetMode="External"/><Relationship Id="rId1" Type="http://schemas.openxmlformats.org/officeDocument/2006/relationships/hyperlink" Target="http://www.dpac.tas.gov.au/divisions/ssmo/Managing_Positions_in_the_State_Service/workforce_renewal_incentive_program" TargetMode="External"/><Relationship Id="rId4" Type="http://schemas.openxmlformats.org/officeDocument/2006/relationships/hyperlink" Target="https://www.wgea.gov.au/sites/default/files/20151204_MR_superpayg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11AB-6D1D-43E4-8522-2EEC823F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27</Pages>
  <Words>6204</Words>
  <Characters>35364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41486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Leica, Wagner</dc:creator>
  <cp:lastModifiedBy>Banks, Robin</cp:lastModifiedBy>
  <cp:revision>39</cp:revision>
  <cp:lastPrinted>2015-12-07T22:55:00Z</cp:lastPrinted>
  <dcterms:created xsi:type="dcterms:W3CDTF">2015-12-07T22:59:00Z</dcterms:created>
  <dcterms:modified xsi:type="dcterms:W3CDTF">2016-01-30T06:22:00Z</dcterms:modified>
</cp:coreProperties>
</file>