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1EE" w:rsidRDefault="009241EE" w:rsidP="009241EE">
      <w:pPr>
        <w:pStyle w:val="Default"/>
        <w:ind w:left="720"/>
        <w:rPr>
          <w:rFonts w:ascii="Arial" w:hAnsi="Arial" w:cs="Times New Roman"/>
          <w:color w:val="auto"/>
          <w:szCs w:val="20"/>
          <w:lang w:eastAsia="en-US"/>
        </w:rPr>
      </w:pPr>
    </w:p>
    <w:p w:rsidR="009241EE" w:rsidRDefault="009241EE" w:rsidP="009241EE">
      <w:pPr>
        <w:pStyle w:val="Default"/>
        <w:ind w:left="720"/>
        <w:rPr>
          <w:rFonts w:ascii="Arial" w:hAnsi="Arial" w:cs="Times New Roman"/>
          <w:color w:val="auto"/>
          <w:szCs w:val="20"/>
          <w:lang w:eastAsia="en-US"/>
        </w:rPr>
      </w:pPr>
    </w:p>
    <w:p w:rsidR="009241EE" w:rsidRDefault="009241EE" w:rsidP="009241EE">
      <w:pPr>
        <w:pStyle w:val="Default"/>
        <w:ind w:left="720"/>
        <w:rPr>
          <w:rFonts w:ascii="Arial" w:hAnsi="Arial" w:cs="Times New Roman"/>
          <w:color w:val="auto"/>
          <w:szCs w:val="20"/>
          <w:lang w:eastAsia="en-US"/>
        </w:rPr>
      </w:pPr>
      <w:r>
        <w:rPr>
          <w:rFonts w:ascii="Arial" w:hAnsi="Arial" w:cs="Times New Roman"/>
          <w:color w:val="auto"/>
          <w:szCs w:val="20"/>
          <w:lang w:eastAsia="en-US"/>
        </w:rPr>
        <w:t xml:space="preserve">Dr Brendan </w:t>
      </w:r>
      <w:proofErr w:type="spellStart"/>
      <w:r>
        <w:rPr>
          <w:rFonts w:ascii="Arial" w:hAnsi="Arial" w:cs="Times New Roman"/>
          <w:color w:val="auto"/>
          <w:szCs w:val="20"/>
          <w:lang w:eastAsia="en-US"/>
        </w:rPr>
        <w:t>Gogarty</w:t>
      </w:r>
      <w:proofErr w:type="spellEnd"/>
    </w:p>
    <w:p w:rsidR="009241EE" w:rsidRDefault="009241EE" w:rsidP="009241EE">
      <w:pPr>
        <w:pStyle w:val="Default"/>
        <w:ind w:left="720"/>
        <w:rPr>
          <w:rFonts w:ascii="Arial" w:hAnsi="Arial" w:cs="Times New Roman"/>
          <w:color w:val="auto"/>
          <w:szCs w:val="20"/>
          <w:lang w:eastAsia="en-US"/>
        </w:rPr>
      </w:pPr>
      <w:r>
        <w:rPr>
          <w:rFonts w:ascii="Arial" w:hAnsi="Arial" w:cs="Times New Roman"/>
          <w:color w:val="auto"/>
          <w:szCs w:val="20"/>
          <w:lang w:eastAsia="en-US"/>
        </w:rPr>
        <w:t>Acting Director – Tasmania Law Reform Institute</w:t>
      </w:r>
    </w:p>
    <w:p w:rsidR="009241EE" w:rsidRDefault="009241EE" w:rsidP="009241EE">
      <w:pPr>
        <w:pStyle w:val="Default"/>
        <w:ind w:left="720"/>
        <w:rPr>
          <w:rFonts w:ascii="Arial" w:hAnsi="Arial" w:cs="Times New Roman"/>
          <w:color w:val="auto"/>
          <w:szCs w:val="20"/>
          <w:lang w:eastAsia="en-US"/>
        </w:rPr>
      </w:pPr>
      <w:r>
        <w:rPr>
          <w:rFonts w:ascii="Arial" w:hAnsi="Arial" w:cs="Times New Roman"/>
          <w:color w:val="auto"/>
          <w:szCs w:val="20"/>
          <w:lang w:eastAsia="en-US"/>
        </w:rPr>
        <w:t>Faculty of Law</w:t>
      </w:r>
    </w:p>
    <w:p w:rsidR="009241EE" w:rsidRDefault="009241EE" w:rsidP="009241EE">
      <w:pPr>
        <w:pStyle w:val="Default"/>
        <w:ind w:left="720"/>
        <w:rPr>
          <w:rFonts w:ascii="Arial" w:hAnsi="Arial" w:cs="Times New Roman"/>
          <w:color w:val="auto"/>
          <w:szCs w:val="20"/>
          <w:lang w:eastAsia="en-US"/>
        </w:rPr>
      </w:pPr>
      <w:r>
        <w:rPr>
          <w:rFonts w:ascii="Arial" w:hAnsi="Arial" w:cs="Times New Roman"/>
          <w:color w:val="auto"/>
          <w:szCs w:val="20"/>
          <w:lang w:eastAsia="en-US"/>
        </w:rPr>
        <w:t>Private Bag 89</w:t>
      </w:r>
    </w:p>
    <w:p w:rsidR="009241EE" w:rsidRPr="00566766" w:rsidRDefault="009241EE" w:rsidP="009241EE">
      <w:pPr>
        <w:pStyle w:val="Default"/>
        <w:ind w:left="720"/>
        <w:rPr>
          <w:rFonts w:ascii="Arial" w:hAnsi="Arial" w:cs="Times New Roman"/>
          <w:color w:val="auto"/>
          <w:szCs w:val="20"/>
          <w:lang w:eastAsia="en-US"/>
        </w:rPr>
      </w:pPr>
      <w:r>
        <w:rPr>
          <w:rFonts w:ascii="Arial" w:hAnsi="Arial" w:cs="Times New Roman"/>
          <w:color w:val="auto"/>
          <w:szCs w:val="20"/>
          <w:lang w:eastAsia="en-US"/>
        </w:rPr>
        <w:t xml:space="preserve">Hobart, TAS, 7001 </w:t>
      </w:r>
    </w:p>
    <w:p w:rsidR="009241EE" w:rsidRPr="00566766" w:rsidRDefault="009241EE" w:rsidP="009241EE">
      <w:pPr>
        <w:pStyle w:val="Default"/>
        <w:ind w:left="720"/>
        <w:rPr>
          <w:rFonts w:ascii="Arial" w:hAnsi="Arial" w:cs="Times New Roman"/>
          <w:color w:val="auto"/>
          <w:szCs w:val="20"/>
          <w:lang w:eastAsia="en-US"/>
        </w:rPr>
      </w:pPr>
    </w:p>
    <w:p w:rsidR="009241EE" w:rsidRDefault="009241EE" w:rsidP="009241EE">
      <w:pPr>
        <w:pStyle w:val="Default"/>
        <w:ind w:left="720"/>
        <w:rPr>
          <w:rFonts w:ascii="Arial" w:hAnsi="Arial" w:cs="Times New Roman"/>
          <w:color w:val="auto"/>
          <w:szCs w:val="20"/>
          <w:lang w:eastAsia="en-US"/>
        </w:rPr>
      </w:pPr>
      <w:r w:rsidRPr="00566766">
        <w:rPr>
          <w:rFonts w:ascii="Arial" w:hAnsi="Arial" w:cs="Times New Roman"/>
          <w:color w:val="auto"/>
          <w:szCs w:val="20"/>
          <w:lang w:eastAsia="en-US"/>
        </w:rPr>
        <w:t xml:space="preserve">By email: </w:t>
      </w:r>
      <w:hyperlink r:id="rId8" w:history="1">
        <w:r w:rsidRPr="00CA13B7">
          <w:rPr>
            <w:rStyle w:val="Hyperlink"/>
            <w:rFonts w:ascii="Arial" w:hAnsi="Arial" w:cs="Times New Roman"/>
            <w:szCs w:val="20"/>
            <w:lang w:eastAsia="en-US"/>
          </w:rPr>
          <w:t>law.reform@utas.edu.au</w:t>
        </w:r>
      </w:hyperlink>
      <w:r>
        <w:rPr>
          <w:rFonts w:ascii="Arial" w:hAnsi="Arial" w:cs="Times New Roman"/>
          <w:color w:val="auto"/>
          <w:szCs w:val="20"/>
          <w:lang w:eastAsia="en-US"/>
        </w:rPr>
        <w:t xml:space="preserve"> </w:t>
      </w:r>
    </w:p>
    <w:p w:rsidR="009241EE" w:rsidRPr="00566766" w:rsidRDefault="009241EE" w:rsidP="009241EE">
      <w:pPr>
        <w:pStyle w:val="Default"/>
        <w:ind w:left="720"/>
        <w:rPr>
          <w:rFonts w:ascii="Arial" w:hAnsi="Arial" w:cs="Times New Roman"/>
          <w:color w:val="auto"/>
          <w:szCs w:val="20"/>
          <w:lang w:eastAsia="en-US"/>
        </w:rPr>
      </w:pPr>
      <w:r>
        <w:rPr>
          <w:rFonts w:ascii="Arial" w:hAnsi="Arial" w:cs="Times New Roman"/>
          <w:color w:val="auto"/>
          <w:szCs w:val="20"/>
          <w:lang w:eastAsia="en-US"/>
        </w:rPr>
        <w:t xml:space="preserve"> </w:t>
      </w:r>
      <w:r w:rsidRPr="00566766">
        <w:rPr>
          <w:rFonts w:ascii="Arial" w:hAnsi="Arial" w:cs="Times New Roman"/>
          <w:color w:val="auto"/>
          <w:szCs w:val="20"/>
          <w:lang w:eastAsia="en-US"/>
        </w:rPr>
        <w:t xml:space="preserve"> </w:t>
      </w:r>
    </w:p>
    <w:p w:rsidR="009241EE" w:rsidRDefault="009241EE" w:rsidP="009241EE">
      <w:pPr>
        <w:pStyle w:val="Privateandconfidential"/>
        <w:ind w:right="-1079"/>
      </w:pPr>
    </w:p>
    <w:p w:rsidR="009241EE" w:rsidRDefault="009241EE" w:rsidP="009241EE">
      <w:pPr>
        <w:tabs>
          <w:tab w:val="right" w:pos="10490"/>
        </w:tabs>
        <w:rPr>
          <w:bCs/>
        </w:rPr>
      </w:pPr>
      <w:r>
        <w:rPr>
          <w:bCs/>
        </w:rPr>
        <w:t xml:space="preserve">Dear Dr </w:t>
      </w:r>
      <w:proofErr w:type="spellStart"/>
      <w:r>
        <w:rPr>
          <w:bCs/>
        </w:rPr>
        <w:t>Gogarty</w:t>
      </w:r>
      <w:proofErr w:type="spellEnd"/>
    </w:p>
    <w:p w:rsidR="009241EE" w:rsidRPr="0065014B" w:rsidRDefault="009241EE" w:rsidP="0065014B">
      <w:pPr>
        <w:pStyle w:val="Heading1"/>
      </w:pPr>
      <w:r w:rsidRPr="0065014B">
        <w:t>Issues Paper 31 ‘</w:t>
      </w:r>
      <w:r w:rsidR="008E6BB7" w:rsidRPr="0065014B">
        <w:t>S</w:t>
      </w:r>
      <w:r w:rsidRPr="0065014B">
        <w:t>exual Orientation and Gender Identity (SOGI) Conversion Practices’</w:t>
      </w:r>
    </w:p>
    <w:p w:rsidR="009241EE" w:rsidRDefault="009241EE" w:rsidP="009241EE">
      <w:pPr>
        <w:rPr>
          <w:noProof/>
        </w:rPr>
      </w:pPr>
      <w:r w:rsidRPr="00566766">
        <w:rPr>
          <w:noProof/>
        </w:rPr>
        <w:t>Th</w:t>
      </w:r>
      <w:r>
        <w:rPr>
          <w:noProof/>
        </w:rPr>
        <w:t xml:space="preserve">ank you for meeting with me recently to discuss possible reforms </w:t>
      </w:r>
      <w:r w:rsidR="00227115">
        <w:rPr>
          <w:noProof/>
        </w:rPr>
        <w:t>addressing</w:t>
      </w:r>
      <w:r>
        <w:rPr>
          <w:noProof/>
        </w:rPr>
        <w:t xml:space="preserve"> sexual orientation and gender identity (SOGI) conversion practices in Tasmania. Please find my views outlined below. </w:t>
      </w:r>
    </w:p>
    <w:p w:rsidR="007E73B4" w:rsidRDefault="009241EE" w:rsidP="009241EE">
      <w:pPr>
        <w:rPr>
          <w:noProof/>
        </w:rPr>
      </w:pPr>
      <w:r>
        <w:rPr>
          <w:noProof/>
        </w:rPr>
        <w:t xml:space="preserve">I reiterate my </w:t>
      </w:r>
      <w:r w:rsidR="008A27CB">
        <w:rPr>
          <w:noProof/>
        </w:rPr>
        <w:t>view</w:t>
      </w:r>
      <w:r>
        <w:rPr>
          <w:noProof/>
        </w:rPr>
        <w:t xml:space="preserve"> that SOGI practices </w:t>
      </w:r>
      <w:r w:rsidR="008A27CB">
        <w:rPr>
          <w:noProof/>
        </w:rPr>
        <w:t>undermine</w:t>
      </w:r>
      <w:r>
        <w:rPr>
          <w:noProof/>
        </w:rPr>
        <w:t xml:space="preserve"> the principles </w:t>
      </w:r>
      <w:r w:rsidR="008A27CB">
        <w:rPr>
          <w:noProof/>
        </w:rPr>
        <w:t>of</w:t>
      </w:r>
      <w:r w:rsidR="008E6BB7">
        <w:rPr>
          <w:noProof/>
        </w:rPr>
        <w:t xml:space="preserve"> the</w:t>
      </w:r>
      <w:r>
        <w:rPr>
          <w:noProof/>
        </w:rPr>
        <w:t xml:space="preserve"> </w:t>
      </w:r>
      <w:r>
        <w:rPr>
          <w:i/>
          <w:noProof/>
        </w:rPr>
        <w:t xml:space="preserve">Anti-Discrimination Act 1998 </w:t>
      </w:r>
      <w:r>
        <w:rPr>
          <w:noProof/>
        </w:rPr>
        <w:t>(Tas)</w:t>
      </w:r>
      <w:r w:rsidR="008E6BB7">
        <w:rPr>
          <w:noProof/>
        </w:rPr>
        <w:t xml:space="preserve"> (the Act)</w:t>
      </w:r>
      <w:r>
        <w:rPr>
          <w:noProof/>
        </w:rPr>
        <w:t>.</w:t>
      </w:r>
      <w:r w:rsidR="008E6BB7">
        <w:rPr>
          <w:noProof/>
        </w:rPr>
        <w:t xml:space="preserve"> As such, I support the development of law reform which furthers the objectives of the Act. </w:t>
      </w:r>
    </w:p>
    <w:p w:rsidR="009241EE" w:rsidRPr="0065014B" w:rsidRDefault="009241EE" w:rsidP="0065014B">
      <w:pPr>
        <w:pStyle w:val="Heading1"/>
      </w:pPr>
      <w:r w:rsidRPr="0065014B">
        <w:t xml:space="preserve">Existing law </w:t>
      </w:r>
    </w:p>
    <w:p w:rsidR="008E6BB7" w:rsidRDefault="00227115" w:rsidP="008E6BB7">
      <w:r>
        <w:t xml:space="preserve">The Act in its current form arguably </w:t>
      </w:r>
      <w:r w:rsidR="008E6BB7">
        <w:t xml:space="preserve">enables a person to make a complaint if they are subject to </w:t>
      </w:r>
      <w:r>
        <w:t xml:space="preserve">SOGI </w:t>
      </w:r>
      <w:r w:rsidR="008E6BB7">
        <w:t xml:space="preserve">conversion practices. </w:t>
      </w:r>
    </w:p>
    <w:p w:rsidR="008E6BB7" w:rsidRDefault="008E6BB7" w:rsidP="008E6BB7">
      <w:r>
        <w:t xml:space="preserve">Section 14 of the Act sets out that </w:t>
      </w:r>
      <w:r w:rsidR="00227115">
        <w:t xml:space="preserve">direct </w:t>
      </w:r>
      <w:r>
        <w:t>discrimination is unlawful.</w:t>
      </w:r>
    </w:p>
    <w:p w:rsidR="008E6BB7" w:rsidRPr="008E6BB7" w:rsidRDefault="008E6BB7" w:rsidP="008E6BB7">
      <w:pPr>
        <w:pStyle w:val="Quote"/>
        <w:jc w:val="left"/>
        <w:rPr>
          <w:rFonts w:ascii="Times New Roman" w:hAnsi="Times New Roman"/>
          <w:b/>
          <w:i w:val="0"/>
          <w:lang w:eastAsia="en-AU"/>
        </w:rPr>
      </w:pPr>
      <w:r w:rsidRPr="008E6BB7">
        <w:rPr>
          <w:rFonts w:ascii="Times New Roman" w:hAnsi="Times New Roman"/>
          <w:b/>
          <w:i w:val="0"/>
          <w:lang w:eastAsia="en-AU"/>
        </w:rPr>
        <w:t>14.   Direct discrimination</w:t>
      </w:r>
    </w:p>
    <w:p w:rsidR="008E6BB7" w:rsidRPr="008E6BB7" w:rsidRDefault="008E6BB7" w:rsidP="008E6BB7">
      <w:pPr>
        <w:pStyle w:val="Quote"/>
        <w:jc w:val="left"/>
        <w:rPr>
          <w:rFonts w:ascii="Times New Roman" w:hAnsi="Times New Roman"/>
          <w:i w:val="0"/>
          <w:lang w:eastAsia="en-AU"/>
        </w:rPr>
      </w:pPr>
      <w:bookmarkStart w:id="0" w:name="GS14@Gs1@EN"/>
      <w:bookmarkEnd w:id="0"/>
      <w:r w:rsidRPr="008E6BB7">
        <w:rPr>
          <w:rFonts w:ascii="Times New Roman" w:hAnsi="Times New Roman"/>
          <w:i w:val="0"/>
          <w:lang w:eastAsia="en-AU"/>
        </w:rPr>
        <w:t>(1)  Discrimination to which this Act applies is direct or indirect discrimination on the grounds of any prescribed attribute.</w:t>
      </w:r>
    </w:p>
    <w:p w:rsidR="008E6BB7" w:rsidRPr="008E6BB7" w:rsidRDefault="008E6BB7" w:rsidP="008E6BB7">
      <w:pPr>
        <w:pStyle w:val="Quote"/>
        <w:jc w:val="left"/>
        <w:rPr>
          <w:rFonts w:ascii="Times New Roman" w:hAnsi="Times New Roman"/>
          <w:i w:val="0"/>
          <w:lang w:eastAsia="en-AU"/>
        </w:rPr>
      </w:pPr>
      <w:bookmarkStart w:id="1" w:name="GS14@Gs2@EN"/>
      <w:bookmarkEnd w:id="1"/>
      <w:r w:rsidRPr="008E6BB7">
        <w:rPr>
          <w:rFonts w:ascii="Times New Roman" w:hAnsi="Times New Roman"/>
          <w:i w:val="0"/>
          <w:lang w:eastAsia="en-AU"/>
        </w:rPr>
        <w:t>(2)  Direct discrimination takes place if a person treats another person on the basis of any prescribed attribute, imputed prescribed attribute or a characteristic imputed to that attribute less favourably than a person without that attribute or characteristic.</w:t>
      </w:r>
    </w:p>
    <w:p w:rsidR="008E6BB7" w:rsidRPr="008E6BB7" w:rsidRDefault="008E6BB7" w:rsidP="008E6BB7">
      <w:pPr>
        <w:pStyle w:val="Quote"/>
        <w:jc w:val="left"/>
        <w:rPr>
          <w:rFonts w:ascii="Times New Roman" w:hAnsi="Times New Roman"/>
          <w:i w:val="0"/>
          <w:lang w:eastAsia="en-AU"/>
        </w:rPr>
      </w:pPr>
      <w:bookmarkStart w:id="2" w:name="GS14@Gs3@EN"/>
      <w:bookmarkEnd w:id="2"/>
      <w:r w:rsidRPr="008E6BB7">
        <w:rPr>
          <w:rFonts w:ascii="Times New Roman" w:hAnsi="Times New Roman"/>
          <w:i w:val="0"/>
          <w:lang w:eastAsia="en-AU"/>
        </w:rPr>
        <w:t>(3)  For direct discrimination to take place, it is not necessary –</w:t>
      </w:r>
      <w:bookmarkStart w:id="3" w:name="GS14@Gs3@Hpa@EN"/>
      <w:bookmarkEnd w:id="3"/>
    </w:p>
    <w:p w:rsidR="008E6BB7" w:rsidRPr="008E6BB7" w:rsidRDefault="008E6BB7" w:rsidP="008E6BB7">
      <w:pPr>
        <w:pStyle w:val="Quote"/>
        <w:ind w:left="1440"/>
        <w:jc w:val="left"/>
        <w:rPr>
          <w:rFonts w:ascii="Times New Roman" w:hAnsi="Times New Roman"/>
          <w:i w:val="0"/>
          <w:lang w:eastAsia="en-AU"/>
        </w:rPr>
      </w:pPr>
      <w:r w:rsidRPr="008E6BB7">
        <w:rPr>
          <w:rFonts w:ascii="Times New Roman" w:hAnsi="Times New Roman"/>
          <w:i w:val="0"/>
          <w:lang w:eastAsia="en-AU"/>
        </w:rPr>
        <w:lastRenderedPageBreak/>
        <w:t xml:space="preserve">(a) </w:t>
      </w:r>
      <w:proofErr w:type="gramStart"/>
      <w:r w:rsidRPr="008E6BB7">
        <w:rPr>
          <w:rFonts w:ascii="Times New Roman" w:hAnsi="Times New Roman"/>
          <w:i w:val="0"/>
          <w:lang w:eastAsia="en-AU"/>
        </w:rPr>
        <w:t>that</w:t>
      </w:r>
      <w:proofErr w:type="gramEnd"/>
      <w:r w:rsidRPr="008E6BB7">
        <w:rPr>
          <w:rFonts w:ascii="Times New Roman" w:hAnsi="Times New Roman"/>
          <w:i w:val="0"/>
          <w:lang w:eastAsia="en-AU"/>
        </w:rPr>
        <w:t xml:space="preserve"> the prescribed attribute be the sole or dominant ground for the unfavourable treatment; or</w:t>
      </w:r>
    </w:p>
    <w:p w:rsidR="008E6BB7" w:rsidRPr="008E6BB7" w:rsidRDefault="008E6BB7" w:rsidP="008E6BB7">
      <w:pPr>
        <w:pStyle w:val="Quote"/>
        <w:ind w:left="1440"/>
        <w:jc w:val="left"/>
        <w:rPr>
          <w:rFonts w:ascii="Times New Roman" w:hAnsi="Times New Roman"/>
          <w:i w:val="0"/>
          <w:lang w:eastAsia="en-AU"/>
        </w:rPr>
      </w:pPr>
      <w:bookmarkStart w:id="4" w:name="GS14@Gs3@Hpb@EN"/>
      <w:bookmarkEnd w:id="4"/>
      <w:r w:rsidRPr="008E6BB7">
        <w:rPr>
          <w:rFonts w:ascii="Times New Roman" w:hAnsi="Times New Roman"/>
          <w:i w:val="0"/>
          <w:lang w:eastAsia="en-AU"/>
        </w:rPr>
        <w:t xml:space="preserve">(b) </w:t>
      </w:r>
      <w:proofErr w:type="gramStart"/>
      <w:r w:rsidRPr="008E6BB7">
        <w:rPr>
          <w:rFonts w:ascii="Times New Roman" w:hAnsi="Times New Roman"/>
          <w:i w:val="0"/>
          <w:lang w:eastAsia="en-AU"/>
        </w:rPr>
        <w:t>that</w:t>
      </w:r>
      <w:proofErr w:type="gramEnd"/>
      <w:r w:rsidRPr="008E6BB7">
        <w:rPr>
          <w:rFonts w:ascii="Times New Roman" w:hAnsi="Times New Roman"/>
          <w:i w:val="0"/>
          <w:lang w:eastAsia="en-AU"/>
        </w:rPr>
        <w:t xml:space="preserve"> the person who discriminates regards the treatment as unfavourable; or</w:t>
      </w:r>
    </w:p>
    <w:p w:rsidR="008E6BB7" w:rsidRPr="008E6BB7" w:rsidRDefault="008E6BB7" w:rsidP="008E6BB7">
      <w:pPr>
        <w:pStyle w:val="Quote"/>
        <w:ind w:left="1440"/>
        <w:jc w:val="left"/>
        <w:rPr>
          <w:rFonts w:ascii="Times New Roman" w:hAnsi="Times New Roman"/>
          <w:i w:val="0"/>
          <w:lang w:eastAsia="en-AU"/>
        </w:rPr>
      </w:pPr>
      <w:bookmarkStart w:id="5" w:name="GS14@Gs3@Hpc@EN"/>
      <w:bookmarkEnd w:id="5"/>
      <w:r w:rsidRPr="008E6BB7">
        <w:rPr>
          <w:rFonts w:ascii="Times New Roman" w:hAnsi="Times New Roman"/>
          <w:i w:val="0"/>
          <w:lang w:eastAsia="en-AU"/>
        </w:rPr>
        <w:t xml:space="preserve">(c) </w:t>
      </w:r>
      <w:proofErr w:type="gramStart"/>
      <w:r w:rsidRPr="008E6BB7">
        <w:rPr>
          <w:rFonts w:ascii="Times New Roman" w:hAnsi="Times New Roman"/>
          <w:i w:val="0"/>
          <w:lang w:eastAsia="en-AU"/>
        </w:rPr>
        <w:t>that</w:t>
      </w:r>
      <w:proofErr w:type="gramEnd"/>
      <w:r w:rsidRPr="008E6BB7">
        <w:rPr>
          <w:rFonts w:ascii="Times New Roman" w:hAnsi="Times New Roman"/>
          <w:i w:val="0"/>
          <w:lang w:eastAsia="en-AU"/>
        </w:rPr>
        <w:t xml:space="preserve"> the person who discriminates has any particular motive in discriminating.</w:t>
      </w:r>
    </w:p>
    <w:p w:rsidR="008E6BB7" w:rsidRDefault="006434C6" w:rsidP="008E6BB7">
      <w:r>
        <w:t xml:space="preserve">Sexual orientation, </w:t>
      </w:r>
      <w:r w:rsidR="008E6BB7">
        <w:t>gender identity</w:t>
      </w:r>
      <w:r w:rsidR="0083106B">
        <w:t>, as well as lawful sexual activity,</w:t>
      </w:r>
      <w:r w:rsidR="008E6BB7">
        <w:t xml:space="preserve"> are protected attributes</w:t>
      </w:r>
      <w:r w:rsidR="008E6BB7">
        <w:rPr>
          <w:rStyle w:val="FootnoteReference"/>
        </w:rPr>
        <w:footnoteReference w:id="1"/>
      </w:r>
      <w:r w:rsidR="008E6BB7">
        <w:t xml:space="preserve"> under the Act. If a person is treated less favourably</w:t>
      </w:r>
      <w:r w:rsidR="0005042B">
        <w:t xml:space="preserve"> on the basis of these attributes they can make a complaint of unlawful discrimination. </w:t>
      </w:r>
    </w:p>
    <w:p w:rsidR="00227115" w:rsidRDefault="00227115" w:rsidP="008E6BB7">
      <w:r>
        <w:t>I note section 14(3</w:t>
      </w:r>
      <w:proofErr w:type="gramStart"/>
      <w:r>
        <w:t>)(</w:t>
      </w:r>
      <w:proofErr w:type="gramEnd"/>
      <w:r>
        <w:t xml:space="preserve">b), that a person who discriminates does not need to regard the treatment as unfavourable. I consider this would be applicable to most situations where SOGI conversion practices take place. </w:t>
      </w:r>
    </w:p>
    <w:p w:rsidR="0005042B" w:rsidRDefault="00227115" w:rsidP="0005042B">
      <w:pPr>
        <w:pStyle w:val="Heading1"/>
        <w:rPr>
          <w:b w:val="0"/>
        </w:rPr>
      </w:pPr>
      <w:r>
        <w:rPr>
          <w:b w:val="0"/>
        </w:rPr>
        <w:t xml:space="preserve">Additionally, </w:t>
      </w:r>
      <w:r w:rsidR="0005042B" w:rsidRPr="0005042B">
        <w:rPr>
          <w:b w:val="0"/>
        </w:rPr>
        <w:t>Issues Paper 31 ‘Sexual Orientation and Gender Identity (SOGI) Conversion Practices’</w:t>
      </w:r>
      <w:r w:rsidR="0005042B">
        <w:rPr>
          <w:b w:val="0"/>
        </w:rPr>
        <w:t xml:space="preserve"> (the Issues Paper) cor</w:t>
      </w:r>
      <w:r w:rsidR="00DB4D38">
        <w:rPr>
          <w:b w:val="0"/>
        </w:rPr>
        <w:t xml:space="preserve">rectly identifies that a person can also make a complaint of prohibited conduct outlined in section 17(1) of the Act, and potentially section 20. </w:t>
      </w:r>
    </w:p>
    <w:p w:rsidR="00FD4520" w:rsidRDefault="008A27CB" w:rsidP="00DB4D38">
      <w:r>
        <w:t xml:space="preserve">However, it is arguable </w:t>
      </w:r>
      <w:r w:rsidR="00DB4D38">
        <w:t xml:space="preserve">that although a person may have grounds to make a complaint, in reality, this is unlikely. A significant barrier for individuals is the identification of the treatment they are subject to during </w:t>
      </w:r>
      <w:r w:rsidR="00DC198E">
        <w:t xml:space="preserve">SOGI </w:t>
      </w:r>
      <w:r w:rsidR="00DB4D38">
        <w:t xml:space="preserve">conversion </w:t>
      </w:r>
      <w:r w:rsidR="00DC198E">
        <w:t>practices</w:t>
      </w:r>
      <w:r w:rsidR="00DB4D38">
        <w:t xml:space="preserve"> as being </w:t>
      </w:r>
      <w:r w:rsidR="008F128B">
        <w:t>‘less favourable’</w:t>
      </w:r>
      <w:r w:rsidR="00FD4520">
        <w:t>, let alone unlawful.</w:t>
      </w:r>
    </w:p>
    <w:p w:rsidR="00DB4D38" w:rsidRDefault="00FD4520" w:rsidP="00DB4D38">
      <w:r>
        <w:t xml:space="preserve">The same can </w:t>
      </w:r>
      <w:r w:rsidR="008A27CB">
        <w:t xml:space="preserve">arguably </w:t>
      </w:r>
      <w:r>
        <w:t xml:space="preserve">be said for prohibited conduct under section 17(1), where a person must subjectively feel offended, humiliated, intimidated, insulted or ridiculed in order to allege a breach of this provision. </w:t>
      </w:r>
    </w:p>
    <w:p w:rsidR="006B3207" w:rsidRDefault="00227115" w:rsidP="006B3207">
      <w:r>
        <w:t>SOGI c</w:t>
      </w:r>
      <w:r w:rsidR="008F128B">
        <w:t>onversion practices are generally presented to individuals as helpful, supportive and coming from a pl</w:t>
      </w:r>
      <w:r>
        <w:t xml:space="preserve">ace of compassion, </w:t>
      </w:r>
      <w:r w:rsidR="006B3207">
        <w:t>and the conduct is not framed as being harmful or detrimental to an individual’s health. Additionally, a</w:t>
      </w:r>
      <w:r>
        <w:t xml:space="preserve">s I understand it, </w:t>
      </w:r>
      <w:r w:rsidR="006B3207">
        <w:t xml:space="preserve">such practices are </w:t>
      </w:r>
      <w:r>
        <w:t>generally recommended by people</w:t>
      </w:r>
      <w:r w:rsidR="006B3207">
        <w:t xml:space="preserve"> an individual trusts, further impacting their ability to identify the conduct as harmful. </w:t>
      </w:r>
      <w:r w:rsidR="0092722D">
        <w:t xml:space="preserve"> </w:t>
      </w:r>
    </w:p>
    <w:p w:rsidR="006434C6" w:rsidRDefault="006B3207" w:rsidP="006B3207">
      <w:r>
        <w:t>At the time</w:t>
      </w:r>
      <w:r w:rsidR="00FD4520">
        <w:t xml:space="preserve"> </w:t>
      </w:r>
      <w:r w:rsidR="00DC198E">
        <w:t xml:space="preserve">SOGI </w:t>
      </w:r>
      <w:r w:rsidR="00FD4520">
        <w:t xml:space="preserve">conversion practices </w:t>
      </w:r>
      <w:r w:rsidR="00227115">
        <w:t>are experienced</w:t>
      </w:r>
      <w:r w:rsidR="00FD4520">
        <w:t xml:space="preserve"> </w:t>
      </w:r>
      <w:r>
        <w:t xml:space="preserve">they </w:t>
      </w:r>
      <w:r w:rsidR="00FD4520">
        <w:t xml:space="preserve">may not be interpreted as being injurious to a person. </w:t>
      </w:r>
      <w:r>
        <w:t>Evidence shows that</w:t>
      </w:r>
      <w:r w:rsidR="0092722D">
        <w:t xml:space="preserve"> the negative effects of such </w:t>
      </w:r>
      <w:r>
        <w:t>practices</w:t>
      </w:r>
      <w:r w:rsidR="0092722D">
        <w:t xml:space="preserve"> can emerge some years after </w:t>
      </w:r>
      <w:r>
        <w:t>experiencing them</w:t>
      </w:r>
      <w:r w:rsidR="0092722D">
        <w:t xml:space="preserve">. </w:t>
      </w:r>
    </w:p>
    <w:p w:rsidR="00DB4D38" w:rsidRDefault="0092722D" w:rsidP="006B3207">
      <w:r>
        <w:t>A person undergoing</w:t>
      </w:r>
      <w:r w:rsidR="00DC198E">
        <w:t xml:space="preserve"> SOGI</w:t>
      </w:r>
      <w:r>
        <w:t xml:space="preserve"> conversion practices would </w:t>
      </w:r>
      <w:r w:rsidR="006B3207">
        <w:t xml:space="preserve">therefore experience </w:t>
      </w:r>
      <w:r w:rsidR="008A27CB">
        <w:t>certain</w:t>
      </w:r>
      <w:r w:rsidR="006B3207">
        <w:t xml:space="preserve"> barriers to seeking justice under the Act before even lodging a complaint, the first being identification of the conduct as potentially unlawful, and the second being </w:t>
      </w:r>
      <w:r w:rsidR="006B3207">
        <w:lastRenderedPageBreak/>
        <w:t xml:space="preserve">lodging the complaint within the time </w:t>
      </w:r>
      <w:r w:rsidR="00F64807">
        <w:t>constraints set out under the Act (discussed further below).</w:t>
      </w:r>
    </w:p>
    <w:p w:rsidR="006434C6" w:rsidRDefault="0092722D" w:rsidP="008E6BB7">
      <w:r>
        <w:t>I note the Issues Paper identifies the possibility of a hybrid approach to law reform. Any adoption of such approach will need to consider the likelihood of c</w:t>
      </w:r>
      <w:r w:rsidR="006B3207">
        <w:t>omplaints actually bei</w:t>
      </w:r>
      <w:r w:rsidR="006434C6">
        <w:t>ng lodged in this jurisdiction. As it stands, despite that grounds to lodge a complaint already exist, my office has no record of a complaint being made where a person was subject to SOGI conversion practices.</w:t>
      </w:r>
    </w:p>
    <w:p w:rsidR="008E6BB7" w:rsidRPr="008E6BB7" w:rsidRDefault="00900493" w:rsidP="008E6BB7">
      <w:r>
        <w:t>W</w:t>
      </w:r>
      <w:r w:rsidR="00FD4520">
        <w:t>hile it is important people have the option to lodge a complaint if they wish to do so, a solely complaints-based system</w:t>
      </w:r>
      <w:r w:rsidR="00701246">
        <w:t xml:space="preserve"> and reactive approach</w:t>
      </w:r>
      <w:r w:rsidR="00FD4520">
        <w:t xml:space="preserve"> will not go far enough to protect the rights of people who may be subject to </w:t>
      </w:r>
      <w:r w:rsidR="00DC198E">
        <w:t xml:space="preserve">SOGI </w:t>
      </w:r>
      <w:r w:rsidR="00701246">
        <w:t xml:space="preserve">conversion practices and prevent them from harm. </w:t>
      </w:r>
    </w:p>
    <w:p w:rsidR="009241EE" w:rsidRDefault="008E6BB7" w:rsidP="0065014B">
      <w:pPr>
        <w:pStyle w:val="Heading1"/>
      </w:pPr>
      <w:r>
        <w:t>Limitations of time</w:t>
      </w:r>
    </w:p>
    <w:p w:rsidR="00F64807" w:rsidRDefault="00F64807" w:rsidP="009241EE">
      <w:r>
        <w:t>The Act places limitations on the Commissio</w:t>
      </w:r>
      <w:r w:rsidR="00DC198E">
        <w:t xml:space="preserve">ner’s </w:t>
      </w:r>
      <w:r>
        <w:t xml:space="preserve">ability to accept a complaint for investigation within a certain time period. </w:t>
      </w:r>
    </w:p>
    <w:p w:rsidR="00F64807" w:rsidRPr="00F64807" w:rsidRDefault="00F64807" w:rsidP="00F64807">
      <w:pPr>
        <w:shd w:val="clear" w:color="auto" w:fill="FFFFFF"/>
        <w:suppressAutoHyphens w:val="0"/>
        <w:overflowPunct/>
        <w:autoSpaceDE/>
        <w:autoSpaceDN/>
        <w:adjustRightInd/>
        <w:spacing w:before="160" w:after="120" w:line="240" w:lineRule="auto"/>
        <w:ind w:left="1060" w:hanging="340"/>
        <w:textAlignment w:val="auto"/>
        <w:rPr>
          <w:rFonts w:ascii="Times New Roman" w:eastAsia="Times New Roman" w:hAnsi="Times New Roman"/>
          <w:color w:val="000000"/>
          <w:sz w:val="25"/>
          <w:szCs w:val="25"/>
          <w:lang w:eastAsia="en-AU"/>
        </w:rPr>
      </w:pPr>
      <w:r w:rsidRPr="00F64807">
        <w:rPr>
          <w:rFonts w:ascii="Times New Roman" w:eastAsia="Times New Roman" w:hAnsi="Times New Roman"/>
          <w:b/>
          <w:bCs/>
          <w:color w:val="000000"/>
          <w:sz w:val="25"/>
          <w:szCs w:val="25"/>
          <w:lang w:eastAsia="en-AU"/>
        </w:rPr>
        <w:t>63.</w:t>
      </w:r>
      <w:r w:rsidRPr="00F64807">
        <w:rPr>
          <w:rFonts w:ascii="Times New Roman" w:eastAsia="Times New Roman" w:hAnsi="Times New Roman"/>
          <w:color w:val="000000"/>
          <w:sz w:val="25"/>
          <w:szCs w:val="25"/>
          <w:lang w:eastAsia="en-AU"/>
        </w:rPr>
        <w:t>   </w:t>
      </w:r>
      <w:r w:rsidRPr="00F64807">
        <w:rPr>
          <w:rFonts w:ascii="Times New Roman" w:eastAsia="Times New Roman" w:hAnsi="Times New Roman"/>
          <w:b/>
          <w:bCs/>
          <w:color w:val="000000"/>
          <w:sz w:val="25"/>
          <w:szCs w:val="25"/>
          <w:lang w:eastAsia="en-AU"/>
        </w:rPr>
        <w:t>Time limit on complaints</w:t>
      </w:r>
    </w:p>
    <w:p w:rsidR="00F64807" w:rsidRPr="00F64807" w:rsidRDefault="00F64807" w:rsidP="00F64807">
      <w:pPr>
        <w:shd w:val="clear" w:color="auto" w:fill="FFFFFF"/>
        <w:suppressAutoHyphens w:val="0"/>
        <w:overflowPunct/>
        <w:autoSpaceDE/>
        <w:autoSpaceDN/>
        <w:adjustRightInd/>
        <w:spacing w:after="120" w:line="240" w:lineRule="auto"/>
        <w:ind w:left="720"/>
        <w:textAlignment w:val="auto"/>
        <w:rPr>
          <w:rFonts w:ascii="Times New Roman" w:eastAsia="Times New Roman" w:hAnsi="Times New Roman"/>
          <w:color w:val="000000"/>
          <w:sz w:val="25"/>
          <w:szCs w:val="25"/>
          <w:lang w:eastAsia="en-AU"/>
        </w:rPr>
      </w:pPr>
      <w:bookmarkStart w:id="6" w:name="GS63@Gs1@EN"/>
      <w:bookmarkEnd w:id="6"/>
      <w:r w:rsidRPr="00F64807">
        <w:rPr>
          <w:rFonts w:ascii="Times New Roman" w:eastAsia="Times New Roman" w:hAnsi="Times New Roman"/>
          <w:color w:val="000000"/>
          <w:sz w:val="25"/>
          <w:szCs w:val="25"/>
          <w:lang w:eastAsia="en-AU"/>
        </w:rPr>
        <w:t>(1)  A complaint is to be made within 12 months after the alleged discrimination or prohibited conduct took place.</w:t>
      </w:r>
    </w:p>
    <w:p w:rsidR="00DC198E" w:rsidRDefault="00F64807" w:rsidP="00DC198E">
      <w:pPr>
        <w:shd w:val="clear" w:color="auto" w:fill="FFFFFF"/>
        <w:suppressAutoHyphens w:val="0"/>
        <w:overflowPunct/>
        <w:autoSpaceDE/>
        <w:autoSpaceDN/>
        <w:adjustRightInd/>
        <w:spacing w:after="120" w:line="240" w:lineRule="auto"/>
        <w:ind w:left="720"/>
        <w:textAlignment w:val="auto"/>
        <w:rPr>
          <w:rFonts w:ascii="Times New Roman" w:eastAsia="Times New Roman" w:hAnsi="Times New Roman"/>
          <w:color w:val="000000"/>
          <w:sz w:val="25"/>
          <w:szCs w:val="25"/>
          <w:lang w:eastAsia="en-AU"/>
        </w:rPr>
      </w:pPr>
      <w:bookmarkStart w:id="7" w:name="GS63@Gs2@EN"/>
      <w:bookmarkEnd w:id="7"/>
      <w:r w:rsidRPr="00F64807">
        <w:rPr>
          <w:rFonts w:ascii="Times New Roman" w:eastAsia="Times New Roman" w:hAnsi="Times New Roman"/>
          <w:color w:val="000000"/>
          <w:sz w:val="25"/>
          <w:szCs w:val="25"/>
          <w:lang w:eastAsia="en-AU"/>
        </w:rPr>
        <w:t>(2)  The Commissioner may accept a complaint made after the 12-month time limitation has expired if satisfied that it is reasonable to do so.</w:t>
      </w:r>
    </w:p>
    <w:p w:rsidR="00594ECD" w:rsidRDefault="00DC198E" w:rsidP="00594ECD">
      <w:r>
        <w:rPr>
          <w:rFonts w:ascii="Times New Roman" w:eastAsia="Times New Roman" w:hAnsi="Times New Roman"/>
          <w:color w:val="000000"/>
          <w:sz w:val="25"/>
          <w:szCs w:val="25"/>
          <w:lang w:eastAsia="en-AU"/>
        </w:rPr>
        <w:br/>
      </w:r>
      <w:r>
        <w:t>As set out in the Issues Paper, evidence shows that SOGI conversion practices have long term negative effects, including guilt, shame, severe anxiety and depression, in</w:t>
      </w:r>
      <w:r w:rsidR="00594ECD">
        <w:t>ternalised homophobia and PTSD.</w:t>
      </w:r>
      <w:r w:rsidR="00B427DC">
        <w:rPr>
          <w:rStyle w:val="FootnoteReference"/>
        </w:rPr>
        <w:footnoteReference w:id="2"/>
      </w:r>
      <w:r w:rsidR="00E453E6">
        <w:t xml:space="preserve"> </w:t>
      </w:r>
      <w:r w:rsidR="00594ECD">
        <w:t xml:space="preserve">These effects all create barriers for a person lodging a complaint within 12 months. Identification of the conduct as being grounds for a complaint under the Act may take years. </w:t>
      </w:r>
    </w:p>
    <w:p w:rsidR="00E453E6" w:rsidRDefault="00594ECD" w:rsidP="00594ECD">
      <w:r>
        <w:t>The Commissioner’s discretion to extend time can only be exercised</w:t>
      </w:r>
      <w:r w:rsidR="00594460">
        <w:t xml:space="preserve"> where certain criteria is met. </w:t>
      </w:r>
      <w:r w:rsidR="00E453E6">
        <w:t xml:space="preserve">I consider that due to the barriers of identification outlined above, it may be more common for a complaint about SOGI conversion practices to be lodged out of time and for the Commissioner to be required to consider whether to exercise their discretion under section 63(2). This should not be the routine approach to complaints of this nature and should be considered in any proposed approach. </w:t>
      </w:r>
    </w:p>
    <w:p w:rsidR="0065014B" w:rsidRDefault="0065014B" w:rsidP="0065014B">
      <w:r>
        <w:t xml:space="preserve">I also note that while a complainant may be experiencing the effects of the conduct on an ongoing basis, </w:t>
      </w:r>
      <w:r>
        <w:rPr>
          <w:lang w:eastAsia="en-AU"/>
        </w:rPr>
        <w:t xml:space="preserve">decisions in this jurisdiction have drawn a distinction between ‘conduct’ and the ‘consequences of conduct’. In </w:t>
      </w:r>
      <w:proofErr w:type="spellStart"/>
      <w:r>
        <w:rPr>
          <w:i/>
          <w:lang w:eastAsia="en-AU"/>
        </w:rPr>
        <w:t>Mazukov</w:t>
      </w:r>
      <w:proofErr w:type="spellEnd"/>
      <w:r>
        <w:rPr>
          <w:i/>
          <w:lang w:eastAsia="en-AU"/>
        </w:rPr>
        <w:t xml:space="preserve"> Ivan v University of Tasmania</w:t>
      </w:r>
      <w:r>
        <w:rPr>
          <w:lang w:eastAsia="en-AU"/>
        </w:rPr>
        <w:t xml:space="preserve"> [2005] TASADT 5, the Anti-Discrimination Tribunal held at [43]:</w:t>
      </w:r>
    </w:p>
    <w:p w:rsidR="0065014B" w:rsidRPr="0065014B" w:rsidRDefault="0065014B" w:rsidP="0065014B">
      <w:pPr>
        <w:ind w:left="720"/>
      </w:pPr>
      <w:r>
        <w:rPr>
          <w:sz w:val="22"/>
          <w:szCs w:val="22"/>
          <w:lang w:eastAsia="en-AU"/>
        </w:rPr>
        <w:lastRenderedPageBreak/>
        <w:t xml:space="preserve">Conduct or treatment will often have continuing consequences or an impact which continues to be felt by a complainant beyond the time when the conduct has occurred but that does not </w:t>
      </w:r>
      <w:r w:rsidRPr="0065014B">
        <w:t>mean that the conduct is not concluded and the Act applies.</w:t>
      </w:r>
    </w:p>
    <w:p w:rsidR="00594ECD" w:rsidRDefault="00594ECD" w:rsidP="00594ECD">
      <w:pPr>
        <w:rPr>
          <w:rFonts w:eastAsia="Times New Roman"/>
        </w:rPr>
      </w:pPr>
      <w:r>
        <w:t xml:space="preserve">In </w:t>
      </w:r>
      <w:r w:rsidRPr="0065014B">
        <w:t xml:space="preserve">R v S </w:t>
      </w:r>
      <w:r>
        <w:t>[2005] TASADT 1 at [31]-[33] the Anti-Discrimination Tribunal of Tasmania set out the relevant factors that I must consider when exercising my discretion to extend time available for lodging a complaint, with reference to relevant cases:</w:t>
      </w:r>
    </w:p>
    <w:p w:rsidR="00594ECD" w:rsidRDefault="00594ECD" w:rsidP="00594ECD">
      <w:pPr>
        <w:numPr>
          <w:ilvl w:val="0"/>
          <w:numId w:val="3"/>
        </w:numPr>
        <w:suppressAutoHyphens w:val="0"/>
        <w:overflowPunct/>
        <w:autoSpaceDE/>
        <w:autoSpaceDN/>
        <w:adjustRightInd/>
        <w:spacing w:after="0"/>
        <w:ind w:left="357"/>
        <w:textAlignment w:val="auto"/>
      </w:pPr>
      <w:r>
        <w:t>The entire period, from the date of the alleged events to the date of lodging the complaint is to be explained, not just the period extending from the expiration of the 12-month date (</w:t>
      </w:r>
      <w:r>
        <w:rPr>
          <w:i/>
          <w:iCs/>
        </w:rPr>
        <w:t xml:space="preserve">Ramadan v Legal Holdings </w:t>
      </w:r>
      <w:r>
        <w:t>[2001] NSWCA 41) and there must be a satisfactory explanation for the delay (</w:t>
      </w:r>
      <w:r>
        <w:rPr>
          <w:i/>
          <w:iCs/>
        </w:rPr>
        <w:t>Buderim Ginger Limited v Booth</w:t>
      </w:r>
      <w:r>
        <w:t xml:space="preserve"> [2002] QCA 177).</w:t>
      </w:r>
    </w:p>
    <w:p w:rsidR="00594ECD" w:rsidRDefault="00594ECD" w:rsidP="00594ECD">
      <w:pPr>
        <w:numPr>
          <w:ilvl w:val="0"/>
          <w:numId w:val="3"/>
        </w:numPr>
        <w:suppressAutoHyphens w:val="0"/>
        <w:overflowPunct/>
        <w:autoSpaceDE/>
        <w:autoSpaceDN/>
        <w:adjustRightInd/>
        <w:spacing w:after="0"/>
        <w:ind w:left="357"/>
        <w:textAlignment w:val="auto"/>
      </w:pPr>
      <w:r>
        <w:t>Whether the delay was attributable to the acts or omissions of the complainant or his or her legal representatives, the respondent, or both (</w:t>
      </w:r>
      <w:r>
        <w:rPr>
          <w:i/>
          <w:iCs/>
        </w:rPr>
        <w:t>Buderim Ginger Limited v Booth</w:t>
      </w:r>
      <w:r>
        <w:t xml:space="preserve"> [2002] QCA 177).</w:t>
      </w:r>
    </w:p>
    <w:p w:rsidR="00594ECD" w:rsidRDefault="00594ECD" w:rsidP="00594ECD">
      <w:pPr>
        <w:numPr>
          <w:ilvl w:val="0"/>
          <w:numId w:val="3"/>
        </w:numPr>
        <w:suppressAutoHyphens w:val="0"/>
        <w:overflowPunct/>
        <w:autoSpaceDE/>
        <w:autoSpaceDN/>
        <w:adjustRightInd/>
        <w:spacing w:after="0"/>
        <w:ind w:left="357"/>
        <w:textAlignment w:val="auto"/>
      </w:pPr>
      <w:r>
        <w:t>The length of the delay (</w:t>
      </w:r>
      <w:r>
        <w:rPr>
          <w:i/>
          <w:iCs/>
        </w:rPr>
        <w:t>Buderim Ginger Limited v Booth</w:t>
      </w:r>
      <w:r>
        <w:t xml:space="preserve"> [2002] QCA 177).</w:t>
      </w:r>
    </w:p>
    <w:p w:rsidR="00594ECD" w:rsidRDefault="00594ECD" w:rsidP="00594ECD">
      <w:pPr>
        <w:pStyle w:val="ListParagraph"/>
        <w:numPr>
          <w:ilvl w:val="0"/>
          <w:numId w:val="3"/>
        </w:numPr>
        <w:suppressAutoHyphens w:val="0"/>
        <w:overflowPunct/>
        <w:autoSpaceDE/>
        <w:autoSpaceDN/>
        <w:adjustRightInd/>
        <w:spacing w:after="0"/>
        <w:ind w:left="357"/>
        <w:textAlignment w:val="auto"/>
      </w:pPr>
      <w:r>
        <w:t>Whether it would cause prejudice to the respondent (</w:t>
      </w:r>
      <w:r>
        <w:rPr>
          <w:i/>
          <w:iCs/>
        </w:rPr>
        <w:t>Buderim Ginger Limited v Booth</w:t>
      </w:r>
      <w:r>
        <w:t xml:space="preserve"> [2002] QCA 177). </w:t>
      </w:r>
      <w:r>
        <w:rPr>
          <w:color w:val="000000"/>
          <w:lang w:eastAsia="en-AU"/>
        </w:rPr>
        <w:t>Having to defend a matter long after the circumstances which gave rise to it have passed can be oppressive to a defendant (</w:t>
      </w:r>
      <w:r>
        <w:rPr>
          <w:i/>
        </w:rPr>
        <w:t xml:space="preserve">R v S </w:t>
      </w:r>
      <w:r>
        <w:t>[2005] TASADT 1).</w:t>
      </w:r>
    </w:p>
    <w:p w:rsidR="00594ECD" w:rsidRDefault="00594ECD" w:rsidP="00594ECD">
      <w:pPr>
        <w:numPr>
          <w:ilvl w:val="0"/>
          <w:numId w:val="3"/>
        </w:numPr>
        <w:suppressAutoHyphens w:val="0"/>
        <w:overflowPunct/>
        <w:autoSpaceDE/>
        <w:autoSpaceDN/>
        <w:adjustRightInd/>
        <w:spacing w:after="0"/>
        <w:ind w:left="357"/>
        <w:textAlignment w:val="auto"/>
      </w:pPr>
      <w:r>
        <w:t xml:space="preserve">Once prejudice to the respondent is established, the limitation period should only be overridden in exceptional circumstances </w:t>
      </w:r>
      <w:r>
        <w:rPr>
          <w:color w:val="000000"/>
          <w:lang w:eastAsia="en-AU"/>
        </w:rPr>
        <w:t>(</w:t>
      </w:r>
      <w:r>
        <w:rPr>
          <w:i/>
        </w:rPr>
        <w:t xml:space="preserve">R v S </w:t>
      </w:r>
      <w:r>
        <w:t xml:space="preserve">[2005] TASADT 1).  </w:t>
      </w:r>
    </w:p>
    <w:p w:rsidR="00594ECD" w:rsidRDefault="00594ECD" w:rsidP="00594ECD">
      <w:pPr>
        <w:numPr>
          <w:ilvl w:val="0"/>
          <w:numId w:val="3"/>
        </w:numPr>
        <w:suppressAutoHyphens w:val="0"/>
        <w:overflowPunct/>
        <w:autoSpaceDE/>
        <w:autoSpaceDN/>
        <w:adjustRightInd/>
        <w:spacing w:after="0"/>
        <w:ind w:left="357"/>
        <w:textAlignment w:val="auto"/>
      </w:pPr>
      <w:r>
        <w:t>The complainant bears the onus to make out a case for extension of time (</w:t>
      </w:r>
      <w:r>
        <w:rPr>
          <w:i/>
          <w:iCs/>
        </w:rPr>
        <w:t>Brisbane South Regional Health Authority v Taylor</w:t>
      </w:r>
      <w:r>
        <w:t xml:space="preserve"> (1996) 186 CLR 541).</w:t>
      </w:r>
    </w:p>
    <w:p w:rsidR="00594ECD" w:rsidRDefault="00594ECD" w:rsidP="00594ECD">
      <w:pPr>
        <w:numPr>
          <w:ilvl w:val="0"/>
          <w:numId w:val="3"/>
        </w:numPr>
        <w:suppressAutoHyphens w:val="0"/>
        <w:overflowPunct/>
        <w:autoSpaceDE/>
        <w:autoSpaceDN/>
        <w:adjustRightInd/>
        <w:spacing w:after="0"/>
        <w:ind w:left="357"/>
        <w:textAlignment w:val="auto"/>
      </w:pPr>
      <w:r>
        <w:t>The merits of the complaint should not be used as a basis for an out of time decision (</w:t>
      </w:r>
      <w:proofErr w:type="spellStart"/>
      <w:r>
        <w:rPr>
          <w:i/>
          <w:iCs/>
        </w:rPr>
        <w:t>McAulliffe</w:t>
      </w:r>
      <w:proofErr w:type="spellEnd"/>
      <w:r>
        <w:rPr>
          <w:i/>
          <w:iCs/>
        </w:rPr>
        <w:t xml:space="preserve"> v </w:t>
      </w:r>
      <w:proofErr w:type="spellStart"/>
      <w:r>
        <w:rPr>
          <w:i/>
          <w:iCs/>
        </w:rPr>
        <w:t>Puplick</w:t>
      </w:r>
      <w:proofErr w:type="spellEnd"/>
      <w:r>
        <w:rPr>
          <w:i/>
          <w:iCs/>
        </w:rPr>
        <w:t xml:space="preserve"> and Anor</w:t>
      </w:r>
      <w:r>
        <w:t xml:space="preserve"> (1996) EOC 92-800; </w:t>
      </w:r>
      <w:r>
        <w:rPr>
          <w:i/>
          <w:iCs/>
        </w:rPr>
        <w:t>Buderim Ginger Limited v Booth</w:t>
      </w:r>
      <w:r>
        <w:t xml:space="preserve"> [2002] QCA 177).</w:t>
      </w:r>
    </w:p>
    <w:p w:rsidR="00594ECD" w:rsidRDefault="00594ECD" w:rsidP="00594ECD">
      <w:pPr>
        <w:spacing w:after="0"/>
        <w:ind w:left="-3"/>
      </w:pPr>
    </w:p>
    <w:p w:rsidR="00053B82" w:rsidRDefault="00053B82" w:rsidP="00053B82">
      <w:r>
        <w:t xml:space="preserve">Establishing a satisfactory explanation for the delay would </w:t>
      </w:r>
      <w:r w:rsidR="00900493">
        <w:t>present numerous difficulties</w:t>
      </w:r>
      <w:r>
        <w:t xml:space="preserve">. </w:t>
      </w:r>
      <w:r w:rsidR="00900493">
        <w:t>The complainant would need to</w:t>
      </w:r>
      <w:r w:rsidR="00E453E6">
        <w:t xml:space="preserve"> explain why they didn’t complain from the time of conduct, which may require them to disclose incredibly personal information before a complaint is accepted for investigation.</w:t>
      </w:r>
    </w:p>
    <w:p w:rsidR="00053B82" w:rsidRDefault="00053B82" w:rsidP="00053B82">
      <w:r>
        <w:t>As a matter of natural justice, this information would be sent to the respondent</w:t>
      </w:r>
      <w:r w:rsidR="00965B01">
        <w:t>(s)</w:t>
      </w:r>
      <w:r>
        <w:t xml:space="preserve"> to make submissions on any prejudice they may experience if the Commissioner were to exercise her discretion to extend time. </w:t>
      </w:r>
    </w:p>
    <w:p w:rsidR="00053B82" w:rsidRDefault="00053B82" w:rsidP="00053B82">
      <w:r>
        <w:t xml:space="preserve">In the event the </w:t>
      </w:r>
      <w:r w:rsidR="00965B01">
        <w:t>complaint is not accepted for investigation, the information has been provided with no way for the complainant to achieve a remedy after th</w:t>
      </w:r>
      <w:r w:rsidR="00900493">
        <w:t xml:space="preserve">e respondents have reviewed it and possibly acted upon the same. </w:t>
      </w:r>
    </w:p>
    <w:p w:rsidR="0065014B" w:rsidRDefault="0065014B" w:rsidP="00965B01">
      <w:r>
        <w:t xml:space="preserve">I note that the </w:t>
      </w:r>
      <w:r w:rsidR="003810E9">
        <w:t xml:space="preserve">Issues Paper identified that people while people have experienced SOGI conversion practices may have found them harmful, this does not necessarily </w:t>
      </w:r>
      <w:r w:rsidR="003810E9">
        <w:lastRenderedPageBreak/>
        <w:t>mean they wish to disconnect from their religious community.</w:t>
      </w:r>
      <w:r w:rsidR="008273E3">
        <w:rPr>
          <w:rStyle w:val="FootnoteReference"/>
        </w:rPr>
        <w:footnoteReference w:id="3"/>
      </w:r>
      <w:r w:rsidR="003810E9">
        <w:t xml:space="preserve"> I am of the view that the current approach to extending time for a complaint under the Act may well risk </w:t>
      </w:r>
      <w:r w:rsidR="00316A07">
        <w:t>a complainant’s</w:t>
      </w:r>
      <w:r w:rsidR="003810E9">
        <w:t xml:space="preserve"> connection to </w:t>
      </w:r>
      <w:r w:rsidR="00E453E6">
        <w:t xml:space="preserve">their </w:t>
      </w:r>
      <w:r w:rsidR="003810E9">
        <w:t xml:space="preserve">community. </w:t>
      </w:r>
    </w:p>
    <w:p w:rsidR="00594ECD" w:rsidRDefault="00594ECD" w:rsidP="00594ECD">
      <w:pPr>
        <w:spacing w:after="0"/>
        <w:ind w:left="-3"/>
      </w:pPr>
      <w:r>
        <w:t xml:space="preserve">It is also important to note that in </w:t>
      </w:r>
      <w:r>
        <w:rPr>
          <w:i/>
        </w:rPr>
        <w:t xml:space="preserve">R v S </w:t>
      </w:r>
      <w:r>
        <w:t>[2005] TASADT 1 at [52], the Anti-Discrimination Tribunal took the view that the time limitation in the Act has a specific purpose and should only be extended where it is reasonable to do so. A limitation period is the general rule; an extension provision is the exception to the rule (</w:t>
      </w:r>
      <w:r>
        <w:rPr>
          <w:i/>
          <w:iCs/>
        </w:rPr>
        <w:t>Brisbane South Regional Health Authority v Taylor</w:t>
      </w:r>
      <w:r>
        <w:t xml:space="preserve"> (1996) 186 CLR 541).  </w:t>
      </w:r>
    </w:p>
    <w:p w:rsidR="00594ECD" w:rsidRDefault="00594ECD" w:rsidP="00965B01">
      <w:pPr>
        <w:spacing w:after="0"/>
      </w:pPr>
    </w:p>
    <w:p w:rsidR="00594ECD" w:rsidRDefault="00594ECD" w:rsidP="00594ECD">
      <w:pPr>
        <w:spacing w:after="0"/>
        <w:ind w:left="-3"/>
      </w:pPr>
      <w:r>
        <w:t xml:space="preserve">The Supreme Court of Tasmania took a similar view in </w:t>
      </w:r>
      <w:r>
        <w:rPr>
          <w:i/>
        </w:rPr>
        <w:t>Bullard v Anti-Discrimination Tribunal</w:t>
      </w:r>
      <w:r>
        <w:t xml:space="preserve"> [2020] TASSC 15 at [25]: </w:t>
      </w:r>
      <w:r>
        <w:br/>
      </w:r>
    </w:p>
    <w:p w:rsidR="00965B01" w:rsidRPr="00965B01" w:rsidRDefault="00594ECD" w:rsidP="00965B01">
      <w:pPr>
        <w:ind w:left="720" w:hanging="360"/>
        <w:rPr>
          <w:sz w:val="22"/>
          <w:szCs w:val="22"/>
        </w:rPr>
      </w:pPr>
      <w:r>
        <w:rPr>
          <w:sz w:val="22"/>
          <w:szCs w:val="22"/>
        </w:rPr>
        <w:t>25.</w:t>
      </w:r>
      <w:r>
        <w:rPr>
          <w:sz w:val="22"/>
          <w:szCs w:val="22"/>
        </w:rPr>
        <w:tab/>
        <w:t xml:space="preserve">Section 63 of the Act prescribes a limitation period which governs the acceptance of a complaint. A limitation period is arbitrary and fixed by parliament on policy grounds. In </w:t>
      </w:r>
      <w:r>
        <w:rPr>
          <w:i/>
          <w:sz w:val="22"/>
          <w:szCs w:val="22"/>
        </w:rPr>
        <w:t>Brisbane South Regional Health Authority v Taylor</w:t>
      </w:r>
      <w:r>
        <w:rPr>
          <w:sz w:val="22"/>
          <w:szCs w:val="22"/>
        </w:rPr>
        <w:t xml:space="preserve"> [1996] HCA 25; (1996) 186 CLR 541, at 553 McHugh J explained this: "In enacting limitation periods, legislatures have regard to all these rationales. A limitation period should not be seen therefore as an arbitrary cut off point unrelated to the demands of justice or the general welfare of society. It represents the legislature's judgment that the welfare of society is best served by causes of action being litigated within the limitation period, notwithstanding that the enactment of that period may often result in a good cause of action being defeated."</w:t>
      </w:r>
    </w:p>
    <w:p w:rsidR="00965B01" w:rsidRDefault="00965B01" w:rsidP="00965B01">
      <w:pPr>
        <w:spacing w:after="0"/>
      </w:pPr>
      <w:r>
        <w:t xml:space="preserve">Based off these views and the knowledge that most complaints about SOGI conversion practices are likely to be made years after the conduct is experienced, I </w:t>
      </w:r>
      <w:r w:rsidR="00900493">
        <w:t>strongly suggest</w:t>
      </w:r>
      <w:r>
        <w:t xml:space="preserve"> that any approach to law reform will need to consider the existing time limitations set out under the Act</w:t>
      </w:r>
      <w:r w:rsidR="003373EF">
        <w:t xml:space="preserve"> and adopt an approach that does not require people to routinely seek the Commissioner exercise discretion to extend time. </w:t>
      </w:r>
    </w:p>
    <w:p w:rsidR="00965B01" w:rsidRDefault="00965B01" w:rsidP="00965B01">
      <w:pPr>
        <w:spacing w:after="0"/>
      </w:pPr>
    </w:p>
    <w:p w:rsidR="00594460" w:rsidRDefault="00594460" w:rsidP="00594460">
      <w:pPr>
        <w:rPr>
          <w:rFonts w:cs="Arial"/>
        </w:rPr>
      </w:pPr>
      <w:r>
        <w:t>I also draw your attention to a further barrier for complainants, where i</w:t>
      </w:r>
      <w:r>
        <w:rPr>
          <w:bCs/>
        </w:rPr>
        <w:t xml:space="preserve">n </w:t>
      </w:r>
      <w:r>
        <w:rPr>
          <w:i/>
        </w:rPr>
        <w:t xml:space="preserve">Bullard v Anti-Discrimination Tribunal </w:t>
      </w:r>
      <w:r>
        <w:t>[2020] TASSC 15 at [15]-[40],</w:t>
      </w:r>
      <w:r>
        <w:rPr>
          <w:i/>
        </w:rPr>
        <w:t xml:space="preserve"> </w:t>
      </w:r>
      <w:r>
        <w:t>the Supreme Court held tha</w:t>
      </w:r>
      <w:r>
        <w:rPr>
          <w:rFonts w:cs="Arial"/>
        </w:rPr>
        <w:t>t a decision not to accept a complaint made out of time under section 63 of the Act does not engage section 64 of the Act. Section 64 of the Act lists the grounds for rejection of a complaint. Non-acceptance under section 63 is not a rejection and the decision is not reviewable by the Anti-Discrimination Tribunal; however, it can be reviewed by way of judicial review to the Supreme Court of Tasmania.</w:t>
      </w:r>
    </w:p>
    <w:p w:rsidR="003373EF" w:rsidRDefault="00053B82" w:rsidP="00594460">
      <w:pPr>
        <w:rPr>
          <w:rFonts w:cs="Arial"/>
        </w:rPr>
      </w:pPr>
      <w:r>
        <w:rPr>
          <w:rFonts w:cs="Arial"/>
        </w:rPr>
        <w:t xml:space="preserve">This interpretation means that complainants who would have historically been able to seek a review in the Anti-Discrimination Tribunal are no longer able to do so. They must either be able to afford to seek judicial review in the Supreme Court or meet the conditions for fees to be waived. </w:t>
      </w:r>
    </w:p>
    <w:p w:rsidR="00594460" w:rsidRDefault="003373EF" w:rsidP="00594460">
      <w:pPr>
        <w:rPr>
          <w:rFonts w:cs="Arial"/>
        </w:rPr>
      </w:pPr>
      <w:r>
        <w:rPr>
          <w:rFonts w:cs="Arial"/>
        </w:rPr>
        <w:lastRenderedPageBreak/>
        <w:t xml:space="preserve">As such, any person who sought to complain about SOGI conversion practices where the Commissioner decided not to exercise discretion, would meet another barrier in their attempt to lodge a complaint. </w:t>
      </w:r>
    </w:p>
    <w:p w:rsidR="007456CE" w:rsidRDefault="007456CE" w:rsidP="007456CE">
      <w:pPr>
        <w:pStyle w:val="Heading1"/>
      </w:pPr>
      <w:r>
        <w:t>Consent to SOGI conversion practices</w:t>
      </w:r>
    </w:p>
    <w:p w:rsidR="007456CE" w:rsidRDefault="007456CE" w:rsidP="007456CE">
      <w:r>
        <w:t xml:space="preserve">Jurisdictions have approached the ability to give consent to conversion practices differently. </w:t>
      </w:r>
    </w:p>
    <w:p w:rsidR="007456CE" w:rsidRDefault="007456CE" w:rsidP="007456CE">
      <w:r>
        <w:t xml:space="preserve">Consent to harm can only been given in limited circumstances, such as where there is the opportunity for the person to achieve some gain. Some sports involve controlled violence, such as boxing, and </w:t>
      </w:r>
      <w:r w:rsidR="008071D9">
        <w:t xml:space="preserve">risk is mitigated through anticipation of harm and rules surrounding how the sport is conducted, including movements, timing, equipment, etc. </w:t>
      </w:r>
    </w:p>
    <w:p w:rsidR="00B047B8" w:rsidRDefault="00B047B8" w:rsidP="007456CE">
      <w:r>
        <w:t>In circumstances where the effects are largely harmful and the extent to which a person may be negatively affected by SOGI conversion practices</w:t>
      </w:r>
      <w:r w:rsidR="009E51AA">
        <w:t xml:space="preserve"> is unknown</w:t>
      </w:r>
      <w:r>
        <w:t xml:space="preserve">, </w:t>
      </w:r>
      <w:proofErr w:type="gramStart"/>
      <w:r w:rsidR="0017775E">
        <w:t>It</w:t>
      </w:r>
      <w:proofErr w:type="gramEnd"/>
      <w:r w:rsidR="0017775E">
        <w:t xml:space="preserve"> is difficult to see how informed consent can be given</w:t>
      </w:r>
      <w:r>
        <w:t xml:space="preserve">. </w:t>
      </w:r>
    </w:p>
    <w:p w:rsidR="008071D9" w:rsidRDefault="008071D9" w:rsidP="007456CE">
      <w:r>
        <w:t xml:space="preserve">As set out in the </w:t>
      </w:r>
      <w:r w:rsidR="00896F67">
        <w:t>Issues Paper, evidence shows that SOGI conversion practices do not fulfil their aims and are generally harmful and ineffective.</w:t>
      </w:r>
      <w:r w:rsidR="00896F67">
        <w:rPr>
          <w:rStyle w:val="FootnoteReference"/>
        </w:rPr>
        <w:footnoteReference w:id="4"/>
      </w:r>
      <w:r w:rsidR="00B047B8">
        <w:t xml:space="preserve"> It is also identified that </w:t>
      </w:r>
      <w:r w:rsidR="0065720F">
        <w:t xml:space="preserve">some existing criminal laws and tort/civil liability may apply. </w:t>
      </w:r>
    </w:p>
    <w:p w:rsidR="0065720F" w:rsidRDefault="00B047B8" w:rsidP="007456CE">
      <w:r>
        <w:t>I am concerned that being able to provide consent</w:t>
      </w:r>
      <w:r w:rsidR="00A20CB8">
        <w:t xml:space="preserve"> to submit to SOGI conversion practices</w:t>
      </w:r>
      <w:r>
        <w:t xml:space="preserve"> would then undermine any possible leg</w:t>
      </w:r>
      <w:r w:rsidR="0065720F">
        <w:t>al avenue where a person seeks a remedy after experiencing harm</w:t>
      </w:r>
      <w:r w:rsidR="003373EF">
        <w:t>.</w:t>
      </w:r>
      <w:r>
        <w:t xml:space="preserve"> </w:t>
      </w:r>
      <w:r w:rsidR="00F03016">
        <w:t xml:space="preserve">It would be legally </w:t>
      </w:r>
      <w:r w:rsidR="0065720F">
        <w:t xml:space="preserve">problematic </w:t>
      </w:r>
      <w:r w:rsidR="00F03016">
        <w:t>if</w:t>
      </w:r>
      <w:r w:rsidR="0065720F">
        <w:t xml:space="preserve"> a person </w:t>
      </w:r>
      <w:r w:rsidR="00F03016">
        <w:t>could</w:t>
      </w:r>
      <w:r w:rsidR="0065720F">
        <w:t xml:space="preserve"> consent to a service which another person may make a complaint under the Act about. </w:t>
      </w:r>
      <w:r w:rsidR="00975CEB">
        <w:t xml:space="preserve">It is inconsistent to label the service discriminatory in some circumstances, but not others. </w:t>
      </w:r>
    </w:p>
    <w:p w:rsidR="0065014B" w:rsidRDefault="00B047B8" w:rsidP="00B047B8">
      <w:r>
        <w:t>Insofar as people can</w:t>
      </w:r>
      <w:r w:rsidR="00E025F5">
        <w:t xml:space="preserve"> purportedly</w:t>
      </w:r>
      <w:r>
        <w:t xml:space="preserve"> conse</w:t>
      </w:r>
      <w:r w:rsidR="00E81FDE">
        <w:t>nt to SOGI conversion practices</w:t>
      </w:r>
      <w:r>
        <w:t xml:space="preserve"> </w:t>
      </w:r>
      <w:r w:rsidR="00E81FDE">
        <w:t>e</w:t>
      </w:r>
      <w:r>
        <w:t xml:space="preserve">xisting discriminatory attitudes regarding </w:t>
      </w:r>
      <w:r w:rsidR="003373EF">
        <w:t>LGBTIQA+</w:t>
      </w:r>
      <w:r w:rsidR="00C04144">
        <w:t xml:space="preserve"> people will continue to be upheld</w:t>
      </w:r>
      <w:r w:rsidR="003373EF">
        <w:t xml:space="preserve"> making</w:t>
      </w:r>
      <w:r w:rsidR="00C04144">
        <w:t xml:space="preserve"> social change and equality far more difficult to achieve. </w:t>
      </w:r>
    </w:p>
    <w:p w:rsidR="00F03016" w:rsidRDefault="00F03016" w:rsidP="00F03016">
      <w:pPr>
        <w:pStyle w:val="Heading1"/>
      </w:pPr>
      <w:r>
        <w:t xml:space="preserve">Freedom of religion and freedom of expression </w:t>
      </w:r>
    </w:p>
    <w:p w:rsidR="00E73870" w:rsidRDefault="00E73870" w:rsidP="00E73870">
      <w:r>
        <w:t xml:space="preserve">I am supportive of a principles-based approach which seeks to achieve a balancing of rights and interests. </w:t>
      </w:r>
    </w:p>
    <w:p w:rsidR="00E73870" w:rsidRDefault="00E73870" w:rsidP="00E73870">
      <w:r>
        <w:t>The Act protects religious belief, activity and affiliation.</w:t>
      </w:r>
      <w:r>
        <w:rPr>
          <w:rStyle w:val="FootnoteReference"/>
        </w:rPr>
        <w:footnoteReference w:id="5"/>
      </w:r>
      <w:r>
        <w:t xml:space="preserve"> It </w:t>
      </w:r>
      <w:r w:rsidR="004E601A">
        <w:t>crucial</w:t>
      </w:r>
      <w:r>
        <w:t xml:space="preserve"> that any changes to the law are not so broad that they </w:t>
      </w:r>
      <w:r w:rsidR="00C1642C">
        <w:t>seek to unreasonably restrict people from engaging in religious expression and activities.</w:t>
      </w:r>
    </w:p>
    <w:p w:rsidR="00B4590D" w:rsidRDefault="00E73870" w:rsidP="00E73870">
      <w:r>
        <w:lastRenderedPageBreak/>
        <w:t xml:space="preserve">However </w:t>
      </w:r>
      <w:r w:rsidR="00B4590D">
        <w:t xml:space="preserve">it is important to differentiate between </w:t>
      </w:r>
      <w:r>
        <w:t xml:space="preserve">the conduct of </w:t>
      </w:r>
      <w:r w:rsidR="00B866CC">
        <w:t>expressing</w:t>
      </w:r>
      <w:r>
        <w:t xml:space="preserve"> one’s beliefs</w:t>
      </w:r>
      <w:r w:rsidR="00C1642C">
        <w:t xml:space="preserve"> (whether through actions or words)</w:t>
      </w:r>
      <w:r>
        <w:t xml:space="preserve"> and the conduct of imposing such beliefs on another </w:t>
      </w:r>
      <w:r w:rsidR="00B4590D">
        <w:t>with the purpose of changing their gender identity or</w:t>
      </w:r>
      <w:r w:rsidR="00C1642C">
        <w:t xml:space="preserve"> sexual orientation. </w:t>
      </w:r>
      <w:r w:rsidR="00B4590D">
        <w:t xml:space="preserve"> </w:t>
      </w:r>
    </w:p>
    <w:p w:rsidR="00B866CC" w:rsidRDefault="00741750" w:rsidP="00B866CC">
      <w:r>
        <w:t>F</w:t>
      </w:r>
      <w:bookmarkStart w:id="8" w:name="_GoBack"/>
      <w:bookmarkEnd w:id="8"/>
      <w:r w:rsidR="00B866CC">
        <w:t xml:space="preserve">reedom of religion or expression should not be protected insofar as that freedom causes harm to others. It is well established that many freedoms are not absolute, and should not be interpreted as such. </w:t>
      </w:r>
    </w:p>
    <w:p w:rsidR="00B866CC" w:rsidRDefault="00B866CC" w:rsidP="00B866CC">
      <w:r w:rsidRPr="00B866CC">
        <w:t xml:space="preserve">This </w:t>
      </w:r>
      <w:r w:rsidR="004E601A">
        <w:t xml:space="preserve">principle </w:t>
      </w:r>
      <w:r w:rsidRPr="00B866CC">
        <w:t>is enshrined in the International Covenant on Civil and Political Rights</w:t>
      </w:r>
      <w:r w:rsidR="00671688">
        <w:rPr>
          <w:rStyle w:val="FootnoteReference"/>
        </w:rPr>
        <w:footnoteReference w:id="6"/>
      </w:r>
      <w:r>
        <w:t xml:space="preserve"> which states:</w:t>
      </w:r>
    </w:p>
    <w:p w:rsidR="00B866CC" w:rsidRPr="00B866CC" w:rsidRDefault="00B866CC" w:rsidP="00B866CC">
      <w:pPr>
        <w:pStyle w:val="NormalWeb"/>
        <w:shd w:val="clear" w:color="auto" w:fill="FFFFFF"/>
        <w:spacing w:before="0" w:beforeAutospacing="0" w:after="150" w:afterAutospacing="0"/>
        <w:ind w:left="720"/>
        <w:rPr>
          <w:color w:val="000000"/>
        </w:rPr>
      </w:pPr>
      <w:r w:rsidRPr="00B866CC">
        <w:rPr>
          <w:rStyle w:val="Strong"/>
          <w:i/>
          <w:iCs/>
          <w:color w:val="000000"/>
        </w:rPr>
        <w:t>Article 18</w:t>
      </w:r>
    </w:p>
    <w:p w:rsidR="00B866CC" w:rsidRPr="00B866CC" w:rsidRDefault="00B866CC" w:rsidP="00B866CC">
      <w:pPr>
        <w:pStyle w:val="NormalWeb"/>
        <w:shd w:val="clear" w:color="auto" w:fill="FFFFFF"/>
        <w:spacing w:before="0" w:beforeAutospacing="0" w:after="150" w:afterAutospacing="0"/>
        <w:ind w:left="720"/>
        <w:rPr>
          <w:color w:val="000000"/>
        </w:rPr>
      </w:pPr>
      <w:r w:rsidRPr="00B866CC">
        <w:rPr>
          <w:color w:val="000000"/>
        </w:rPr>
        <w:t>1. Everyone shall have the right to freedom of thought, conscience and religion. This right shall include freedom to have or to adopt a religion or belief of his choice, and freedom, either individually or in community with others and in public or private, to manifest his religion or belief in worship, observance, practice and teaching.</w:t>
      </w:r>
    </w:p>
    <w:p w:rsidR="00B866CC" w:rsidRPr="00B866CC" w:rsidRDefault="004E601A" w:rsidP="00B866CC">
      <w:pPr>
        <w:pStyle w:val="NormalWeb"/>
        <w:shd w:val="clear" w:color="auto" w:fill="FFFFFF"/>
        <w:spacing w:before="0" w:beforeAutospacing="0" w:after="150" w:afterAutospacing="0"/>
        <w:ind w:left="720"/>
        <w:rPr>
          <w:color w:val="000000"/>
        </w:rPr>
      </w:pPr>
      <w:r>
        <w:rPr>
          <w:color w:val="000000"/>
        </w:rPr>
        <w:t>…</w:t>
      </w:r>
    </w:p>
    <w:p w:rsidR="00B866CC" w:rsidRDefault="00B866CC" w:rsidP="00B866CC">
      <w:pPr>
        <w:pStyle w:val="NormalWeb"/>
        <w:shd w:val="clear" w:color="auto" w:fill="FFFFFF"/>
        <w:spacing w:before="0" w:beforeAutospacing="0" w:after="150" w:afterAutospacing="0"/>
        <w:ind w:left="720"/>
        <w:rPr>
          <w:color w:val="000000"/>
        </w:rPr>
      </w:pPr>
      <w:r w:rsidRPr="00B866CC">
        <w:rPr>
          <w:color w:val="000000"/>
        </w:rPr>
        <w:t>3. Freedom to manifest one's religion or beliefs may be subject only to such limitations as are prescribed by law and are necessary to protect public safety, order, health, or morals or the fundamental rights and freedoms of others.</w:t>
      </w:r>
    </w:p>
    <w:p w:rsidR="00B866CC" w:rsidRPr="00B866CC" w:rsidRDefault="00B866CC" w:rsidP="00B866CC">
      <w:pPr>
        <w:pStyle w:val="NormalWeb"/>
        <w:shd w:val="clear" w:color="auto" w:fill="FFFFFF"/>
        <w:spacing w:before="0" w:beforeAutospacing="0" w:after="150" w:afterAutospacing="0"/>
        <w:ind w:left="720"/>
        <w:rPr>
          <w:color w:val="000000"/>
        </w:rPr>
      </w:pPr>
      <w:r>
        <w:rPr>
          <w:color w:val="000000"/>
        </w:rPr>
        <w:t>…</w:t>
      </w:r>
    </w:p>
    <w:p w:rsidR="00E73870" w:rsidRDefault="00B866CC" w:rsidP="00B866CC">
      <w:r>
        <w:t>The Issues</w:t>
      </w:r>
      <w:r w:rsidR="00A23FC3">
        <w:t xml:space="preserve"> Paper highlights that evidence-</w:t>
      </w:r>
      <w:r>
        <w:t xml:space="preserve">based </w:t>
      </w:r>
      <w:r w:rsidR="00A23FC3">
        <w:t>studies</w:t>
      </w:r>
      <w:r w:rsidR="00E41A55">
        <w:t>,</w:t>
      </w:r>
      <w:r w:rsidR="00A23FC3">
        <w:t xml:space="preserve"> which are peer-reviewed and conducted in line with ethical standards for research</w:t>
      </w:r>
      <w:r w:rsidR="00E41A55">
        <w:t>,</w:t>
      </w:r>
      <w:r w:rsidR="00A23FC3">
        <w:t xml:space="preserve"> demonstrate that SOGI conversions practices are overwhelmingly harmful.</w:t>
      </w:r>
      <w:r w:rsidR="00E41A55">
        <w:rPr>
          <w:rStyle w:val="FootnoteReference"/>
        </w:rPr>
        <w:footnoteReference w:id="7"/>
      </w:r>
      <w:r w:rsidR="00A23FC3">
        <w:t xml:space="preserve">  </w:t>
      </w:r>
    </w:p>
    <w:p w:rsidR="00594460" w:rsidRPr="00594ECD" w:rsidRDefault="00A23FC3" w:rsidP="00594ECD">
      <w:r>
        <w:t>The concept of freedoms do not extend insofar as to permit individuals to cause other individuals harm in furtherance of their own belief system.</w:t>
      </w:r>
      <w:r w:rsidR="00E73870">
        <w:t xml:space="preserve"> </w:t>
      </w:r>
      <w:r>
        <w:t xml:space="preserve">This conduct cannot be characterised as the exercise of freedom of religion or freedom of expression because it goes further, impacting on the freedoms of others not to be subject to harm from another. </w:t>
      </w:r>
      <w:r w:rsidR="003D2EFF">
        <w:t>As set out, limitations are justified when they are imposed in order to protect the health and fundamental rights and freedoms of others.</w:t>
      </w:r>
    </w:p>
    <w:p w:rsidR="009241EE" w:rsidRPr="00440D8A" w:rsidRDefault="009241EE" w:rsidP="009241EE">
      <w:pPr>
        <w:rPr>
          <w:b/>
        </w:rPr>
      </w:pPr>
      <w:r>
        <w:rPr>
          <w:b/>
        </w:rPr>
        <w:t xml:space="preserve">Concluding comments </w:t>
      </w:r>
    </w:p>
    <w:p w:rsidR="00BF0C50" w:rsidRDefault="00B4590D" w:rsidP="00BF0C50">
      <w:r>
        <w:t>Law reform has the capacity to influence societal change, the promotion of acceptable attitude</w:t>
      </w:r>
      <w:r w:rsidR="003D2EFF">
        <w:t>s</w:t>
      </w:r>
      <w:r>
        <w:t xml:space="preserve"> and th</w:t>
      </w:r>
      <w:r w:rsidR="00BF0C50">
        <w:t>e rejection of harmful conduct.</w:t>
      </w:r>
    </w:p>
    <w:p w:rsidR="00BF0C50" w:rsidRDefault="00B4590D" w:rsidP="00BF0C50">
      <w:r>
        <w:t xml:space="preserve">The creation of laws in Tasmania which make SOGI conversion practices unlawful would send the message that the practices are </w:t>
      </w:r>
      <w:r w:rsidR="00BF0C50">
        <w:t>not in line with current community expectations</w:t>
      </w:r>
      <w:r w:rsidR="003D2EFF">
        <w:t xml:space="preserve"> and values</w:t>
      </w:r>
      <w:r w:rsidR="00BF0C50">
        <w:t xml:space="preserve">, sexual orientation and gender identity are protected and </w:t>
      </w:r>
      <w:r w:rsidR="00BF0C50">
        <w:lastRenderedPageBreak/>
        <w:t xml:space="preserve">people who identify as LGBTIQA+ are not </w:t>
      </w:r>
      <w:r w:rsidR="003D2EFF">
        <w:t xml:space="preserve">to </w:t>
      </w:r>
      <w:r w:rsidR="00BF0C50">
        <w:t>be subject to ineffective, detrimental and injurious conduct with the aim of achieving an impossible change.</w:t>
      </w:r>
    </w:p>
    <w:p w:rsidR="009241EE" w:rsidRDefault="009241EE" w:rsidP="009241EE">
      <w:pPr>
        <w:suppressAutoHyphens w:val="0"/>
        <w:overflowPunct/>
        <w:autoSpaceDE/>
        <w:autoSpaceDN/>
        <w:adjustRightInd/>
        <w:spacing w:after="0" w:line="240" w:lineRule="auto"/>
        <w:textAlignment w:val="auto"/>
      </w:pPr>
      <w:r>
        <w:t xml:space="preserve">If you have any questions, please contact </w:t>
      </w:r>
      <w:r>
        <w:rPr>
          <w:noProof/>
        </w:rPr>
        <w:t>me</w:t>
      </w:r>
      <w:r>
        <w:t xml:space="preserve"> </w:t>
      </w:r>
      <w:r>
        <w:rPr>
          <w:bCs/>
        </w:rPr>
        <w:t xml:space="preserve">on (03) 6165 7515 or </w:t>
      </w:r>
      <w:hyperlink r:id="rId9" w:history="1">
        <w:r w:rsidRPr="0045175F">
          <w:rPr>
            <w:rStyle w:val="Hyperlink"/>
            <w:bCs/>
          </w:rPr>
          <w:t>EOT.Commissioner@equalopportunity.tas.gov.au</w:t>
        </w:r>
      </w:hyperlink>
      <w:r w:rsidRPr="000B7AEB">
        <w:t>.</w:t>
      </w:r>
    </w:p>
    <w:p w:rsidR="009241EE" w:rsidRDefault="009241EE" w:rsidP="009241EE">
      <w:pPr>
        <w:pStyle w:val="Yourssincerely"/>
      </w:pPr>
      <w:r>
        <w:t>Yours sincerely</w:t>
      </w:r>
    </w:p>
    <w:p w:rsidR="009241EE" w:rsidRDefault="009241EE" w:rsidP="009241EE">
      <w:pPr>
        <w:pStyle w:val="Name"/>
      </w:pPr>
      <w:r>
        <w:t>Sarah Bolt</w:t>
      </w:r>
    </w:p>
    <w:p w:rsidR="009241EE" w:rsidRDefault="009241EE" w:rsidP="009241EE">
      <w:pPr>
        <w:pStyle w:val="Jobtitle"/>
      </w:pPr>
      <w:r>
        <w:t>Anti-Discrimination Commissioner</w:t>
      </w:r>
    </w:p>
    <w:p w:rsidR="009241EE" w:rsidRDefault="006A77E5" w:rsidP="009241EE">
      <w:pPr>
        <w:pStyle w:val="Dateline"/>
        <w:ind w:left="0" w:firstLine="720"/>
      </w:pPr>
      <w:r>
        <w:t>January</w:t>
      </w:r>
      <w:r w:rsidR="009241EE" w:rsidRPr="001E3DBD">
        <w:t xml:space="preserve"> 202</w:t>
      </w:r>
      <w:r>
        <w:t>1</w:t>
      </w:r>
    </w:p>
    <w:p w:rsidR="009241EE" w:rsidRPr="00D71A4A" w:rsidRDefault="009241EE" w:rsidP="009241EE">
      <w:pPr>
        <w:pStyle w:val="EnclCC"/>
        <w:rPr>
          <w:sz w:val="20"/>
          <w:szCs w:val="20"/>
        </w:rPr>
      </w:pPr>
    </w:p>
    <w:p w:rsidR="009241EE" w:rsidRDefault="009241EE" w:rsidP="009241EE">
      <w:pPr>
        <w:pStyle w:val="EnclCC"/>
        <w:keepNext/>
        <w:ind w:firstLine="0"/>
      </w:pPr>
    </w:p>
    <w:p w:rsidR="009241EE" w:rsidRDefault="009241EE" w:rsidP="009241EE"/>
    <w:p w:rsidR="0098182C" w:rsidRDefault="0098182C"/>
    <w:sectPr w:rsidR="0098182C" w:rsidSect="007A2A96">
      <w:headerReference w:type="even" r:id="rId10"/>
      <w:footerReference w:type="default" r:id="rId11"/>
      <w:headerReference w:type="first" r:id="rId12"/>
      <w:footerReference w:type="first" r:id="rId13"/>
      <w:pgSz w:w="11906" w:h="16838" w:code="9"/>
      <w:pgMar w:top="1418" w:right="1985" w:bottom="1418" w:left="851" w:header="0" w:footer="72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637" w:rsidRDefault="00E54637" w:rsidP="009241EE">
      <w:pPr>
        <w:spacing w:after="0" w:line="240" w:lineRule="auto"/>
      </w:pPr>
      <w:r>
        <w:separator/>
      </w:r>
    </w:p>
  </w:endnote>
  <w:endnote w:type="continuationSeparator" w:id="0">
    <w:p w:rsidR="00E54637" w:rsidRDefault="00E54637" w:rsidP="00924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86380"/>
      <w:docPartObj>
        <w:docPartGallery w:val="Page Numbers (Bottom of Page)"/>
        <w:docPartUnique/>
      </w:docPartObj>
    </w:sdtPr>
    <w:sdtEndPr>
      <w:rPr>
        <w:noProof/>
      </w:rPr>
    </w:sdtEndPr>
    <w:sdtContent>
      <w:p w:rsidR="00B3045E" w:rsidRPr="00E922E2" w:rsidRDefault="00434BD0" w:rsidP="00E922E2">
        <w:pPr>
          <w:pStyle w:val="Footer"/>
          <w:jc w:val="center"/>
        </w:pPr>
        <w:r>
          <w:fldChar w:fldCharType="begin"/>
        </w:r>
        <w:r>
          <w:instrText xml:space="preserve"> PAGE   \* MERGEFORMAT </w:instrText>
        </w:r>
        <w:r>
          <w:fldChar w:fldCharType="separate"/>
        </w:r>
        <w:r w:rsidR="00741750">
          <w:rPr>
            <w:noProof/>
          </w:rPr>
          <w:t>- 8 -</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CBD" w:rsidRDefault="00434BD0" w:rsidP="00B3045E">
    <w:pPr>
      <w:pStyle w:val="Footer"/>
      <w:spacing w:after="0"/>
      <w:ind w:left="-142"/>
    </w:pPr>
    <w:r>
      <w:rPr>
        <w:noProof/>
        <w:lang w:eastAsia="en-AU"/>
      </w:rPr>
      <w:drawing>
        <wp:inline distT="0" distB="0" distL="0" distR="0" wp14:anchorId="149A6EC8" wp14:editId="0398BCE3">
          <wp:extent cx="1710690" cy="613410"/>
          <wp:effectExtent l="0" t="0" r="3810" b="0"/>
          <wp:docPr id="6" name="Picture 6" descr="Celebrating Difference Embracing Equality" title="Letterhead footer"/>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0690" cy="6134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637" w:rsidRDefault="00E54637" w:rsidP="009241EE">
      <w:pPr>
        <w:spacing w:after="0" w:line="240" w:lineRule="auto"/>
      </w:pPr>
      <w:r>
        <w:separator/>
      </w:r>
    </w:p>
  </w:footnote>
  <w:footnote w:type="continuationSeparator" w:id="0">
    <w:p w:rsidR="00E54637" w:rsidRDefault="00E54637" w:rsidP="009241EE">
      <w:pPr>
        <w:spacing w:after="0" w:line="240" w:lineRule="auto"/>
      </w:pPr>
      <w:r>
        <w:continuationSeparator/>
      </w:r>
    </w:p>
  </w:footnote>
  <w:footnote w:id="1">
    <w:p w:rsidR="008E6BB7" w:rsidRPr="008E6BB7" w:rsidRDefault="008E6BB7">
      <w:pPr>
        <w:pStyle w:val="FootnoteText"/>
      </w:pPr>
      <w:r>
        <w:rPr>
          <w:rStyle w:val="FootnoteReference"/>
        </w:rPr>
        <w:footnoteRef/>
      </w:r>
      <w:r>
        <w:t xml:space="preserve"> </w:t>
      </w:r>
      <w:r>
        <w:tab/>
      </w:r>
      <w:r>
        <w:rPr>
          <w:i/>
        </w:rPr>
        <w:t>Anti-Discrimination Act 1998</w:t>
      </w:r>
      <w:r>
        <w:t xml:space="preserve"> (</w:t>
      </w:r>
      <w:proofErr w:type="spellStart"/>
      <w:r>
        <w:t>Tas</w:t>
      </w:r>
      <w:proofErr w:type="spellEnd"/>
      <w:r>
        <w:t>) s16(c)</w:t>
      </w:r>
      <w:r w:rsidR="0083106B">
        <w:t xml:space="preserve">, </w:t>
      </w:r>
      <w:proofErr w:type="gramStart"/>
      <w:r w:rsidR="0083106B">
        <w:t>s16(</w:t>
      </w:r>
      <w:proofErr w:type="gramEnd"/>
      <w:r w:rsidR="0083106B">
        <w:t>d)</w:t>
      </w:r>
      <w:r>
        <w:t xml:space="preserve"> and s16(</w:t>
      </w:r>
      <w:proofErr w:type="spellStart"/>
      <w:r>
        <w:t>ea</w:t>
      </w:r>
      <w:proofErr w:type="spellEnd"/>
      <w:r>
        <w:t xml:space="preserve">). </w:t>
      </w:r>
    </w:p>
  </w:footnote>
  <w:footnote w:id="2">
    <w:p w:rsidR="00B427DC" w:rsidRDefault="00B427DC" w:rsidP="00B427DC">
      <w:pPr>
        <w:pStyle w:val="FootnoteText"/>
        <w:rPr>
          <w:i/>
        </w:rPr>
      </w:pPr>
      <w:r>
        <w:rPr>
          <w:rStyle w:val="FootnoteReference"/>
        </w:rPr>
        <w:footnoteRef/>
      </w:r>
      <w:r>
        <w:t xml:space="preserve"> </w:t>
      </w:r>
      <w:r>
        <w:tab/>
        <w:t xml:space="preserve">Tasmania Law Reform Institute, </w:t>
      </w:r>
      <w:r>
        <w:rPr>
          <w:i/>
        </w:rPr>
        <w:t>Sexual Orientation and Gender Identity Conversion Practices</w:t>
      </w:r>
    </w:p>
    <w:p w:rsidR="00B427DC" w:rsidRDefault="00B427DC" w:rsidP="00B427DC">
      <w:pPr>
        <w:pStyle w:val="FootnoteText"/>
        <w:ind w:firstLine="720"/>
      </w:pPr>
      <w:r>
        <w:t>(Issues Paper No 31, November 2020), 2.2.9.</w:t>
      </w:r>
    </w:p>
  </w:footnote>
  <w:footnote w:id="3">
    <w:p w:rsidR="008273E3" w:rsidRDefault="008273E3" w:rsidP="00B427DC">
      <w:pPr>
        <w:pStyle w:val="FootnoteText"/>
      </w:pPr>
      <w:r>
        <w:rPr>
          <w:rStyle w:val="FootnoteReference"/>
        </w:rPr>
        <w:footnoteRef/>
      </w:r>
      <w:r>
        <w:t xml:space="preserve"> </w:t>
      </w:r>
      <w:r>
        <w:tab/>
      </w:r>
      <w:r w:rsidR="00B427DC">
        <w:t>Ibid</w:t>
      </w:r>
      <w:r w:rsidR="001F7F10">
        <w:t xml:space="preserve"> </w:t>
      </w:r>
      <w:r>
        <w:t>2.2.19</w:t>
      </w:r>
      <w:r w:rsidR="001F7F10">
        <w:t>.</w:t>
      </w:r>
      <w:r>
        <w:t xml:space="preserve"> </w:t>
      </w:r>
    </w:p>
  </w:footnote>
  <w:footnote w:id="4">
    <w:p w:rsidR="00896F67" w:rsidRDefault="00896F67">
      <w:pPr>
        <w:pStyle w:val="FootnoteText"/>
      </w:pPr>
      <w:r>
        <w:rPr>
          <w:rStyle w:val="FootnoteReference"/>
        </w:rPr>
        <w:footnoteRef/>
      </w:r>
      <w:r>
        <w:t xml:space="preserve"> </w:t>
      </w:r>
      <w:r>
        <w:tab/>
      </w:r>
      <w:r w:rsidR="001F7F10">
        <w:t xml:space="preserve">Ibid </w:t>
      </w:r>
      <w:r>
        <w:t>2.2.5</w:t>
      </w:r>
      <w:r w:rsidR="001F7F10">
        <w:t>.</w:t>
      </w:r>
      <w:r>
        <w:t xml:space="preserve"> </w:t>
      </w:r>
    </w:p>
  </w:footnote>
  <w:footnote w:id="5">
    <w:p w:rsidR="00E73870" w:rsidRDefault="00E73870" w:rsidP="00E73870">
      <w:pPr>
        <w:pStyle w:val="FootnoteText"/>
      </w:pPr>
      <w:r>
        <w:rPr>
          <w:rStyle w:val="FootnoteReference"/>
        </w:rPr>
        <w:footnoteRef/>
      </w:r>
      <w:r>
        <w:t xml:space="preserve">  </w:t>
      </w:r>
      <w:r w:rsidR="001F7F10">
        <w:tab/>
      </w:r>
      <w:r w:rsidR="001F7F10">
        <w:rPr>
          <w:i/>
        </w:rPr>
        <w:t>Anti-Discrimination Act 1998</w:t>
      </w:r>
      <w:r w:rsidR="001F7F10">
        <w:t xml:space="preserve"> (</w:t>
      </w:r>
      <w:proofErr w:type="spellStart"/>
      <w:r w:rsidR="001F7F10">
        <w:t>Tas</w:t>
      </w:r>
      <w:proofErr w:type="spellEnd"/>
      <w:r w:rsidR="001F7F10">
        <w:t xml:space="preserve">) </w:t>
      </w:r>
      <w:proofErr w:type="gramStart"/>
      <w:r w:rsidR="001F7F10">
        <w:t>s16(</w:t>
      </w:r>
      <w:proofErr w:type="gramEnd"/>
      <w:r w:rsidR="001F7F10">
        <w:t>o) and s16(p).</w:t>
      </w:r>
    </w:p>
  </w:footnote>
  <w:footnote w:id="6">
    <w:p w:rsidR="0082014D" w:rsidRDefault="00671688">
      <w:pPr>
        <w:pStyle w:val="FootnoteText"/>
      </w:pPr>
      <w:r>
        <w:rPr>
          <w:rStyle w:val="FootnoteReference"/>
        </w:rPr>
        <w:footnoteRef/>
      </w:r>
      <w:r>
        <w:t xml:space="preserve"> </w:t>
      </w:r>
      <w:r>
        <w:tab/>
      </w:r>
      <w:r w:rsidRPr="00671688">
        <w:rPr>
          <w:i/>
        </w:rPr>
        <w:t>International Covenant on Civil and Political Rights</w:t>
      </w:r>
      <w:r>
        <w:t xml:space="preserve">, </w:t>
      </w:r>
      <w:r w:rsidRPr="00671688">
        <w:t xml:space="preserve">opened for signature </w:t>
      </w:r>
      <w:r w:rsidR="009A2BC7">
        <w:t>19</w:t>
      </w:r>
      <w:r w:rsidR="0082014D">
        <w:t xml:space="preserve"> December 1966,</w:t>
      </w:r>
    </w:p>
    <w:p w:rsidR="00671688" w:rsidRPr="00671688" w:rsidRDefault="0082014D" w:rsidP="0082014D">
      <w:pPr>
        <w:pStyle w:val="FootnoteText"/>
        <w:ind w:firstLine="720"/>
        <w:rPr>
          <w:i/>
        </w:rPr>
      </w:pPr>
      <w:r>
        <w:t>999 UNTS 171 (entered into force 23 March 1976)</w:t>
      </w:r>
      <w:r w:rsidR="009A2BC7">
        <w:t xml:space="preserve"> (ICCPR)</w:t>
      </w:r>
      <w:r>
        <w:t>.</w:t>
      </w:r>
    </w:p>
  </w:footnote>
  <w:footnote w:id="7">
    <w:p w:rsidR="00E41A55" w:rsidRDefault="00E41A55">
      <w:pPr>
        <w:pStyle w:val="FootnoteText"/>
      </w:pPr>
      <w:r>
        <w:rPr>
          <w:rStyle w:val="FootnoteReference"/>
        </w:rPr>
        <w:footnoteRef/>
      </w:r>
      <w:r>
        <w:t xml:space="preserve"> </w:t>
      </w:r>
      <w:r>
        <w:tab/>
      </w:r>
      <w:r w:rsidR="00304BB2">
        <w:t xml:space="preserve">Tasmania Law Reform Institute, above n </w:t>
      </w:r>
      <w:r w:rsidR="00F421FF">
        <w:t xml:space="preserve">2.2.8 – 2.2.13.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925" w:rsidRDefault="00434BD0" w:rsidP="00EF7BF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6925" w:rsidRDefault="00E546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AE2" w:rsidRPr="00816CBD" w:rsidRDefault="00434BD0" w:rsidP="006C0F68">
    <w:pPr>
      <w:pStyle w:val="Header"/>
      <w:spacing w:after="0"/>
      <w:ind w:left="-851"/>
    </w:pPr>
    <w:r>
      <w:rPr>
        <w:noProof/>
        <w:lang w:eastAsia="en-AU"/>
      </w:rPr>
      <w:drawing>
        <wp:inline distT="0" distB="0" distL="0" distR="0" wp14:anchorId="6159A6A7" wp14:editId="475B4CB4">
          <wp:extent cx="7560000" cy="1945915"/>
          <wp:effectExtent l="0" t="0" r="3175" b="0"/>
          <wp:docPr id="5" name="Picture 5" descr="Equal Opportunity Tasmania&#10;Phone: 1300 305 062 (in Tasmania) or (03) 6165 7515&#10;E-mail: office@equalopportunity.tas.gov.au&#10;Office: Level 1, 54 Victoria St, Hobart TAS 7000&#10;Post: GPO Box 197, HOBART  TAS  7001&#10;www.equalopportunity.tas.gov.au&#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9459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4E18C0"/>
    <w:multiLevelType w:val="hybridMultilevel"/>
    <w:tmpl w:val="769CA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2620D5B"/>
    <w:multiLevelType w:val="hybridMultilevel"/>
    <w:tmpl w:val="50FA1588"/>
    <w:lvl w:ilvl="0" w:tplc="45007E2C">
      <w:numFmt w:val="bullet"/>
      <w:lvlText w:val=""/>
      <w:lvlJc w:val="left"/>
      <w:pPr>
        <w:ind w:left="720" w:hanging="360"/>
      </w:pPr>
      <w:rPr>
        <w:rFonts w:ascii="Symbol" w:eastAsia="Times New Roman"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3C7E5DD0"/>
    <w:multiLevelType w:val="hybridMultilevel"/>
    <w:tmpl w:val="1FF43E9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1EE"/>
    <w:rsid w:val="0005042B"/>
    <w:rsid w:val="00053B82"/>
    <w:rsid w:val="0017775E"/>
    <w:rsid w:val="001F7F10"/>
    <w:rsid w:val="00227115"/>
    <w:rsid w:val="00304BB2"/>
    <w:rsid w:val="00316A07"/>
    <w:rsid w:val="003373EF"/>
    <w:rsid w:val="003810E9"/>
    <w:rsid w:val="003D2EFF"/>
    <w:rsid w:val="00434BD0"/>
    <w:rsid w:val="004E601A"/>
    <w:rsid w:val="00594460"/>
    <w:rsid w:val="00594ECD"/>
    <w:rsid w:val="006434C6"/>
    <w:rsid w:val="0065014B"/>
    <w:rsid w:val="0065720F"/>
    <w:rsid w:val="00671688"/>
    <w:rsid w:val="006A77E5"/>
    <w:rsid w:val="006B3207"/>
    <w:rsid w:val="00701246"/>
    <w:rsid w:val="00741750"/>
    <w:rsid w:val="007456CE"/>
    <w:rsid w:val="007E73B4"/>
    <w:rsid w:val="008071D9"/>
    <w:rsid w:val="0082014D"/>
    <w:rsid w:val="008273E3"/>
    <w:rsid w:val="0083106B"/>
    <w:rsid w:val="00896F67"/>
    <w:rsid w:val="008A27CB"/>
    <w:rsid w:val="008C6085"/>
    <w:rsid w:val="008E6BB7"/>
    <w:rsid w:val="008F128B"/>
    <w:rsid w:val="00900493"/>
    <w:rsid w:val="009241EE"/>
    <w:rsid w:val="0092722D"/>
    <w:rsid w:val="00965B01"/>
    <w:rsid w:val="00975CEB"/>
    <w:rsid w:val="0098182C"/>
    <w:rsid w:val="00994742"/>
    <w:rsid w:val="009A2BC7"/>
    <w:rsid w:val="009E51AA"/>
    <w:rsid w:val="00A20CB8"/>
    <w:rsid w:val="00A23FC3"/>
    <w:rsid w:val="00B047B8"/>
    <w:rsid w:val="00B427DC"/>
    <w:rsid w:val="00B4590D"/>
    <w:rsid w:val="00B866CC"/>
    <w:rsid w:val="00B949E0"/>
    <w:rsid w:val="00BF0C50"/>
    <w:rsid w:val="00C0002B"/>
    <w:rsid w:val="00C04144"/>
    <w:rsid w:val="00C1642C"/>
    <w:rsid w:val="00DB4D38"/>
    <w:rsid w:val="00DC198E"/>
    <w:rsid w:val="00DF5AE2"/>
    <w:rsid w:val="00E025F5"/>
    <w:rsid w:val="00E41A55"/>
    <w:rsid w:val="00E453E6"/>
    <w:rsid w:val="00E54637"/>
    <w:rsid w:val="00E73870"/>
    <w:rsid w:val="00E81FDE"/>
    <w:rsid w:val="00F03016"/>
    <w:rsid w:val="00F421FF"/>
    <w:rsid w:val="00F64807"/>
    <w:rsid w:val="00FA2E69"/>
    <w:rsid w:val="00FD45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77E49"/>
  <w15:chartTrackingRefBased/>
  <w15:docId w15:val="{ACA25E43-10A1-43BF-BAF1-A96EE438D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1EE"/>
    <w:pPr>
      <w:suppressAutoHyphens/>
      <w:overflowPunct w:val="0"/>
      <w:autoSpaceDE w:val="0"/>
      <w:autoSpaceDN w:val="0"/>
      <w:adjustRightInd w:val="0"/>
      <w:spacing w:after="240"/>
      <w:textAlignment w:val="baseline"/>
    </w:pPr>
    <w:rPr>
      <w:rFonts w:ascii="Arial" w:eastAsia="Calibri" w:hAnsi="Arial" w:cs="Times New Roman"/>
      <w:sz w:val="24"/>
      <w:szCs w:val="20"/>
      <w:lang w:eastAsia="en-US"/>
    </w:rPr>
  </w:style>
  <w:style w:type="paragraph" w:styleId="Heading1">
    <w:name w:val="heading 1"/>
    <w:basedOn w:val="Normal"/>
    <w:next w:val="Normal"/>
    <w:link w:val="Heading1Char"/>
    <w:uiPriority w:val="9"/>
    <w:qFormat/>
    <w:rsid w:val="009241EE"/>
    <w:pPr>
      <w:keepNext/>
      <w:keepLines/>
      <w:spacing w:before="240"/>
      <w:outlineLvl w:val="0"/>
    </w:pPr>
    <w:rPr>
      <w:rFonts w:cs="Arial"/>
      <w:b/>
      <w:bCs/>
      <w:szCs w:val="24"/>
    </w:rPr>
  </w:style>
  <w:style w:type="paragraph" w:styleId="Heading2">
    <w:name w:val="heading 2"/>
    <w:basedOn w:val="Normal"/>
    <w:next w:val="Normal"/>
    <w:link w:val="Heading2Char"/>
    <w:uiPriority w:val="9"/>
    <w:unhideWhenUsed/>
    <w:qFormat/>
    <w:rsid w:val="0065014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1EE"/>
    <w:rPr>
      <w:rFonts w:ascii="Arial" w:eastAsia="Calibri" w:hAnsi="Arial" w:cs="Arial"/>
      <w:b/>
      <w:bCs/>
      <w:sz w:val="24"/>
      <w:szCs w:val="24"/>
      <w:lang w:eastAsia="en-US"/>
    </w:rPr>
  </w:style>
  <w:style w:type="paragraph" w:styleId="Header">
    <w:name w:val="header"/>
    <w:basedOn w:val="Normal"/>
    <w:link w:val="HeaderChar"/>
    <w:unhideWhenUsed/>
    <w:rsid w:val="009241EE"/>
    <w:pPr>
      <w:tabs>
        <w:tab w:val="center" w:pos="4513"/>
        <w:tab w:val="right" w:pos="9026"/>
      </w:tabs>
    </w:pPr>
  </w:style>
  <w:style w:type="character" w:customStyle="1" w:styleId="HeaderChar">
    <w:name w:val="Header Char"/>
    <w:basedOn w:val="DefaultParagraphFont"/>
    <w:link w:val="Header"/>
    <w:rsid w:val="009241EE"/>
    <w:rPr>
      <w:rFonts w:ascii="Arial" w:eastAsia="Calibri" w:hAnsi="Arial" w:cs="Times New Roman"/>
      <w:sz w:val="24"/>
      <w:szCs w:val="20"/>
      <w:lang w:eastAsia="en-US"/>
    </w:rPr>
  </w:style>
  <w:style w:type="paragraph" w:styleId="Footer">
    <w:name w:val="footer"/>
    <w:basedOn w:val="Normal"/>
    <w:link w:val="FooterChar"/>
    <w:uiPriority w:val="99"/>
    <w:unhideWhenUsed/>
    <w:rsid w:val="009241EE"/>
    <w:pPr>
      <w:tabs>
        <w:tab w:val="center" w:pos="4513"/>
        <w:tab w:val="right" w:pos="9026"/>
      </w:tabs>
    </w:pPr>
  </w:style>
  <w:style w:type="character" w:customStyle="1" w:styleId="FooterChar">
    <w:name w:val="Footer Char"/>
    <w:basedOn w:val="DefaultParagraphFont"/>
    <w:link w:val="Footer"/>
    <w:uiPriority w:val="99"/>
    <w:rsid w:val="009241EE"/>
    <w:rPr>
      <w:rFonts w:ascii="Arial" w:eastAsia="Calibri" w:hAnsi="Arial" w:cs="Times New Roman"/>
      <w:sz w:val="24"/>
      <w:szCs w:val="20"/>
      <w:lang w:eastAsia="en-US"/>
    </w:rPr>
  </w:style>
  <w:style w:type="character" w:styleId="PageNumber">
    <w:name w:val="page number"/>
    <w:basedOn w:val="DefaultParagraphFont"/>
    <w:qFormat/>
    <w:rsid w:val="009241EE"/>
    <w:rPr>
      <w:sz w:val="22"/>
    </w:rPr>
  </w:style>
  <w:style w:type="paragraph" w:customStyle="1" w:styleId="Dateline">
    <w:name w:val="Date line"/>
    <w:basedOn w:val="Normal"/>
    <w:qFormat/>
    <w:rsid w:val="009241EE"/>
    <w:pPr>
      <w:spacing w:before="240"/>
      <w:ind w:left="851"/>
    </w:pPr>
    <w:rPr>
      <w:rFonts w:cs="Arial"/>
    </w:rPr>
  </w:style>
  <w:style w:type="paragraph" w:customStyle="1" w:styleId="Privateandconfidential">
    <w:name w:val="Private and confidential"/>
    <w:basedOn w:val="Normal"/>
    <w:qFormat/>
    <w:rsid w:val="009241EE"/>
    <w:pPr>
      <w:tabs>
        <w:tab w:val="right" w:pos="10149"/>
      </w:tabs>
      <w:spacing w:after="0" w:line="240" w:lineRule="auto"/>
      <w:ind w:right="-992"/>
    </w:pPr>
    <w:rPr>
      <w:b/>
      <w:bCs/>
    </w:rPr>
  </w:style>
  <w:style w:type="paragraph" w:customStyle="1" w:styleId="Yourssincerely">
    <w:name w:val="Yours sincerely"/>
    <w:basedOn w:val="Normal"/>
    <w:qFormat/>
    <w:rsid w:val="009241EE"/>
    <w:pPr>
      <w:keepNext/>
      <w:keepLines/>
      <w:spacing w:before="480" w:after="960"/>
    </w:pPr>
  </w:style>
  <w:style w:type="paragraph" w:customStyle="1" w:styleId="EnclCC">
    <w:name w:val="Encl &amp; CC"/>
    <w:basedOn w:val="Normal"/>
    <w:qFormat/>
    <w:rsid w:val="009241EE"/>
    <w:pPr>
      <w:keepLines/>
      <w:spacing w:after="0" w:line="240" w:lineRule="auto"/>
      <w:ind w:left="851" w:hanging="851"/>
    </w:pPr>
    <w:rPr>
      <w:iCs/>
      <w:sz w:val="22"/>
      <w:szCs w:val="22"/>
    </w:rPr>
  </w:style>
  <w:style w:type="character" w:styleId="Hyperlink">
    <w:name w:val="Hyperlink"/>
    <w:basedOn w:val="DefaultParagraphFont"/>
    <w:uiPriority w:val="99"/>
    <w:unhideWhenUsed/>
    <w:rsid w:val="009241EE"/>
    <w:rPr>
      <w:color w:val="0000FF" w:themeColor="hyperlink"/>
      <w:u w:val="single"/>
    </w:rPr>
  </w:style>
  <w:style w:type="paragraph" w:customStyle="1" w:styleId="Name">
    <w:name w:val="Name"/>
    <w:basedOn w:val="Normal"/>
    <w:link w:val="NameChar"/>
    <w:qFormat/>
    <w:rsid w:val="009241EE"/>
    <w:pPr>
      <w:keepNext/>
      <w:spacing w:after="0" w:line="240" w:lineRule="auto"/>
    </w:pPr>
    <w:rPr>
      <w:b/>
    </w:rPr>
  </w:style>
  <w:style w:type="character" w:customStyle="1" w:styleId="NameChar">
    <w:name w:val="Name Char"/>
    <w:basedOn w:val="DefaultParagraphFont"/>
    <w:link w:val="Name"/>
    <w:rsid w:val="009241EE"/>
    <w:rPr>
      <w:rFonts w:ascii="Arial" w:eastAsia="Calibri" w:hAnsi="Arial" w:cs="Times New Roman"/>
      <w:b/>
      <w:sz w:val="24"/>
      <w:szCs w:val="20"/>
      <w:lang w:eastAsia="en-US"/>
    </w:rPr>
  </w:style>
  <w:style w:type="paragraph" w:customStyle="1" w:styleId="Jobtitle">
    <w:name w:val="Job title"/>
    <w:basedOn w:val="Normal"/>
    <w:link w:val="JobtitleChar"/>
    <w:qFormat/>
    <w:rsid w:val="009241EE"/>
    <w:pPr>
      <w:keepNext/>
    </w:pPr>
    <w:rPr>
      <w:smallCaps/>
    </w:rPr>
  </w:style>
  <w:style w:type="character" w:customStyle="1" w:styleId="JobtitleChar">
    <w:name w:val="Job title Char"/>
    <w:basedOn w:val="DefaultParagraphFont"/>
    <w:link w:val="Jobtitle"/>
    <w:rsid w:val="009241EE"/>
    <w:rPr>
      <w:rFonts w:ascii="Arial" w:eastAsia="Calibri" w:hAnsi="Arial" w:cs="Times New Roman"/>
      <w:smallCaps/>
      <w:sz w:val="24"/>
      <w:szCs w:val="20"/>
      <w:lang w:eastAsia="en-US"/>
    </w:rPr>
  </w:style>
  <w:style w:type="paragraph" w:customStyle="1" w:styleId="Default">
    <w:name w:val="Default"/>
    <w:rsid w:val="009241EE"/>
    <w:pPr>
      <w:autoSpaceDE w:val="0"/>
      <w:autoSpaceDN w:val="0"/>
      <w:adjustRightInd w:val="0"/>
      <w:spacing w:after="0" w:line="240" w:lineRule="auto"/>
    </w:pPr>
    <w:rPr>
      <w:rFonts w:ascii="Gill Sans MT" w:eastAsia="Calibri" w:hAnsi="Gill Sans MT" w:cs="Gill Sans MT"/>
      <w:color w:val="000000"/>
      <w:sz w:val="24"/>
      <w:szCs w:val="24"/>
    </w:rPr>
  </w:style>
  <w:style w:type="paragraph" w:styleId="ListParagraph">
    <w:name w:val="List Paragraph"/>
    <w:basedOn w:val="Normal"/>
    <w:uiPriority w:val="34"/>
    <w:qFormat/>
    <w:rsid w:val="009241EE"/>
    <w:pPr>
      <w:ind w:left="720"/>
      <w:contextualSpacing/>
    </w:pPr>
  </w:style>
  <w:style w:type="paragraph" w:styleId="FootnoteText">
    <w:name w:val="footnote text"/>
    <w:basedOn w:val="Normal"/>
    <w:link w:val="FootnoteTextChar"/>
    <w:uiPriority w:val="99"/>
    <w:unhideWhenUsed/>
    <w:rsid w:val="009241EE"/>
    <w:pPr>
      <w:spacing w:after="0" w:line="240" w:lineRule="auto"/>
    </w:pPr>
    <w:rPr>
      <w:sz w:val="20"/>
    </w:rPr>
  </w:style>
  <w:style w:type="character" w:customStyle="1" w:styleId="FootnoteTextChar">
    <w:name w:val="Footnote Text Char"/>
    <w:basedOn w:val="DefaultParagraphFont"/>
    <w:link w:val="FootnoteText"/>
    <w:uiPriority w:val="99"/>
    <w:rsid w:val="009241EE"/>
    <w:rPr>
      <w:rFonts w:ascii="Arial" w:eastAsia="Calibri" w:hAnsi="Arial" w:cs="Times New Roman"/>
      <w:sz w:val="20"/>
      <w:szCs w:val="20"/>
      <w:lang w:eastAsia="en-US"/>
    </w:rPr>
  </w:style>
  <w:style w:type="character" w:styleId="FootnoteReference">
    <w:name w:val="footnote reference"/>
    <w:basedOn w:val="DefaultParagraphFont"/>
    <w:uiPriority w:val="99"/>
    <w:semiHidden/>
    <w:unhideWhenUsed/>
    <w:rsid w:val="009241EE"/>
    <w:rPr>
      <w:vertAlign w:val="superscript"/>
    </w:rPr>
  </w:style>
  <w:style w:type="paragraph" w:styleId="Quote">
    <w:name w:val="Quote"/>
    <w:basedOn w:val="Normal"/>
    <w:next w:val="Normal"/>
    <w:link w:val="QuoteChar"/>
    <w:uiPriority w:val="29"/>
    <w:qFormat/>
    <w:rsid w:val="009241E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241EE"/>
    <w:rPr>
      <w:rFonts w:ascii="Arial" w:eastAsia="Calibri" w:hAnsi="Arial" w:cs="Times New Roman"/>
      <w:i/>
      <w:iCs/>
      <w:color w:val="404040" w:themeColor="text1" w:themeTint="BF"/>
      <w:sz w:val="24"/>
      <w:szCs w:val="20"/>
      <w:lang w:eastAsia="en-US"/>
    </w:rPr>
  </w:style>
  <w:style w:type="paragraph" w:customStyle="1" w:styleId="headingparagraph">
    <w:name w:val="headingparagraph"/>
    <w:basedOn w:val="Normal"/>
    <w:rsid w:val="008E6BB7"/>
    <w:pPr>
      <w:suppressAutoHyphens w:val="0"/>
      <w:overflowPunct/>
      <w:autoSpaceDE/>
      <w:autoSpaceDN/>
      <w:adjustRightInd/>
      <w:spacing w:before="100" w:beforeAutospacing="1" w:after="100" w:afterAutospacing="1" w:line="240" w:lineRule="auto"/>
      <w:textAlignment w:val="auto"/>
    </w:pPr>
    <w:rPr>
      <w:rFonts w:ascii="Times New Roman" w:eastAsia="Times New Roman" w:hAnsi="Times New Roman"/>
      <w:szCs w:val="24"/>
      <w:lang w:eastAsia="en-AU"/>
    </w:rPr>
  </w:style>
  <w:style w:type="character" w:customStyle="1" w:styleId="Heading2Char">
    <w:name w:val="Heading 2 Char"/>
    <w:basedOn w:val="DefaultParagraphFont"/>
    <w:link w:val="Heading2"/>
    <w:uiPriority w:val="9"/>
    <w:rsid w:val="0065014B"/>
    <w:rPr>
      <w:rFonts w:asciiTheme="majorHAnsi" w:eastAsiaTheme="majorEastAsia" w:hAnsiTheme="majorHAnsi" w:cstheme="majorBidi"/>
      <w:color w:val="365F91" w:themeColor="accent1" w:themeShade="BF"/>
      <w:sz w:val="26"/>
      <w:szCs w:val="26"/>
      <w:lang w:eastAsia="en-US"/>
    </w:rPr>
  </w:style>
  <w:style w:type="paragraph" w:styleId="NormalWeb">
    <w:name w:val="Normal (Web)"/>
    <w:basedOn w:val="Normal"/>
    <w:uiPriority w:val="99"/>
    <w:unhideWhenUsed/>
    <w:rsid w:val="00B866CC"/>
    <w:pPr>
      <w:suppressAutoHyphens w:val="0"/>
      <w:overflowPunct/>
      <w:autoSpaceDE/>
      <w:autoSpaceDN/>
      <w:adjustRightInd/>
      <w:spacing w:before="100" w:beforeAutospacing="1" w:after="100" w:afterAutospacing="1" w:line="240" w:lineRule="auto"/>
      <w:textAlignment w:val="auto"/>
    </w:pPr>
    <w:rPr>
      <w:rFonts w:ascii="Times New Roman" w:eastAsia="Times New Roman" w:hAnsi="Times New Roman"/>
      <w:szCs w:val="24"/>
      <w:lang w:eastAsia="en-AU"/>
    </w:rPr>
  </w:style>
  <w:style w:type="character" w:styleId="Strong">
    <w:name w:val="Strong"/>
    <w:basedOn w:val="DefaultParagraphFont"/>
    <w:uiPriority w:val="22"/>
    <w:qFormat/>
    <w:rsid w:val="00B866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4395">
      <w:bodyDiv w:val="1"/>
      <w:marLeft w:val="0"/>
      <w:marRight w:val="0"/>
      <w:marTop w:val="0"/>
      <w:marBottom w:val="0"/>
      <w:divBdr>
        <w:top w:val="none" w:sz="0" w:space="0" w:color="auto"/>
        <w:left w:val="none" w:sz="0" w:space="0" w:color="auto"/>
        <w:bottom w:val="none" w:sz="0" w:space="0" w:color="auto"/>
        <w:right w:val="none" w:sz="0" w:space="0" w:color="auto"/>
      </w:divBdr>
      <w:divsChild>
        <w:div w:id="789544799">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496873769">
              <w:blockQuote w:val="1"/>
              <w:marLeft w:val="0"/>
              <w:marRight w:val="0"/>
              <w:marTop w:val="120"/>
              <w:marBottom w:val="120"/>
              <w:divBdr>
                <w:top w:val="none" w:sz="0" w:space="0" w:color="auto"/>
                <w:left w:val="none" w:sz="0" w:space="0" w:color="auto"/>
                <w:bottom w:val="none" w:sz="0" w:space="0" w:color="auto"/>
                <w:right w:val="none" w:sz="0" w:space="0" w:color="auto"/>
              </w:divBdr>
            </w:div>
            <w:div w:id="1950351454">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621150279">
      <w:bodyDiv w:val="1"/>
      <w:marLeft w:val="0"/>
      <w:marRight w:val="0"/>
      <w:marTop w:val="0"/>
      <w:marBottom w:val="0"/>
      <w:divBdr>
        <w:top w:val="none" w:sz="0" w:space="0" w:color="auto"/>
        <w:left w:val="none" w:sz="0" w:space="0" w:color="auto"/>
        <w:bottom w:val="none" w:sz="0" w:space="0" w:color="auto"/>
        <w:right w:val="none" w:sz="0" w:space="0" w:color="auto"/>
      </w:divBdr>
    </w:div>
    <w:div w:id="794064423">
      <w:bodyDiv w:val="1"/>
      <w:marLeft w:val="0"/>
      <w:marRight w:val="0"/>
      <w:marTop w:val="0"/>
      <w:marBottom w:val="0"/>
      <w:divBdr>
        <w:top w:val="none" w:sz="0" w:space="0" w:color="auto"/>
        <w:left w:val="none" w:sz="0" w:space="0" w:color="auto"/>
        <w:bottom w:val="none" w:sz="0" w:space="0" w:color="auto"/>
        <w:right w:val="none" w:sz="0" w:space="0" w:color="auto"/>
      </w:divBdr>
    </w:div>
    <w:div w:id="1329016674">
      <w:bodyDiv w:val="1"/>
      <w:marLeft w:val="0"/>
      <w:marRight w:val="0"/>
      <w:marTop w:val="0"/>
      <w:marBottom w:val="0"/>
      <w:divBdr>
        <w:top w:val="none" w:sz="0" w:space="0" w:color="auto"/>
        <w:left w:val="none" w:sz="0" w:space="0" w:color="auto"/>
        <w:bottom w:val="none" w:sz="0" w:space="0" w:color="auto"/>
        <w:right w:val="none" w:sz="0" w:space="0" w:color="auto"/>
      </w:divBdr>
      <w:divsChild>
        <w:div w:id="1140729944">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888298249">
              <w:blockQuote w:val="1"/>
              <w:marLeft w:val="0"/>
              <w:marRight w:val="0"/>
              <w:marTop w:val="120"/>
              <w:marBottom w:val="120"/>
              <w:divBdr>
                <w:top w:val="none" w:sz="0" w:space="0" w:color="auto"/>
                <w:left w:val="none" w:sz="0" w:space="0" w:color="auto"/>
                <w:bottom w:val="none" w:sz="0" w:space="0" w:color="auto"/>
                <w:right w:val="none" w:sz="0" w:space="0" w:color="auto"/>
              </w:divBdr>
            </w:div>
            <w:div w:id="1372993677">
              <w:blockQuote w:val="1"/>
              <w:marLeft w:val="0"/>
              <w:marRight w:val="0"/>
              <w:marTop w:val="120"/>
              <w:marBottom w:val="120"/>
              <w:divBdr>
                <w:top w:val="none" w:sz="0" w:space="0" w:color="auto"/>
                <w:left w:val="none" w:sz="0" w:space="0" w:color="auto"/>
                <w:bottom w:val="none" w:sz="0" w:space="0" w:color="auto"/>
                <w:right w:val="none" w:sz="0" w:space="0" w:color="auto"/>
              </w:divBdr>
            </w:div>
            <w:div w:id="194541915">
              <w:blockQuote w:val="1"/>
              <w:marLeft w:val="0"/>
              <w:marRight w:val="0"/>
              <w:marTop w:val="120"/>
              <w:marBottom w:val="120"/>
              <w:divBdr>
                <w:top w:val="none" w:sz="0" w:space="0" w:color="auto"/>
                <w:left w:val="none" w:sz="0" w:space="0" w:color="auto"/>
                <w:bottom w:val="none" w:sz="0" w:space="0" w:color="auto"/>
                <w:right w:val="none" w:sz="0" w:space="0" w:color="auto"/>
              </w:divBdr>
              <w:divsChild>
                <w:div w:id="1133056925">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75193369">
                      <w:blockQuote w:val="1"/>
                      <w:marLeft w:val="0"/>
                      <w:marRight w:val="0"/>
                      <w:marTop w:val="120"/>
                      <w:marBottom w:val="120"/>
                      <w:divBdr>
                        <w:top w:val="none" w:sz="0" w:space="0" w:color="auto"/>
                        <w:left w:val="none" w:sz="0" w:space="0" w:color="auto"/>
                        <w:bottom w:val="none" w:sz="0" w:space="0" w:color="auto"/>
                        <w:right w:val="none" w:sz="0" w:space="0" w:color="auto"/>
                      </w:divBdr>
                    </w:div>
                    <w:div w:id="167402404">
                      <w:blockQuote w:val="1"/>
                      <w:marLeft w:val="0"/>
                      <w:marRight w:val="0"/>
                      <w:marTop w:val="120"/>
                      <w:marBottom w:val="120"/>
                      <w:divBdr>
                        <w:top w:val="none" w:sz="0" w:space="0" w:color="auto"/>
                        <w:left w:val="none" w:sz="0" w:space="0" w:color="auto"/>
                        <w:bottom w:val="none" w:sz="0" w:space="0" w:color="auto"/>
                        <w:right w:val="none" w:sz="0" w:space="0" w:color="auto"/>
                      </w:divBdr>
                    </w:div>
                    <w:div w:id="1165514106">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503427227">
      <w:bodyDiv w:val="1"/>
      <w:marLeft w:val="0"/>
      <w:marRight w:val="0"/>
      <w:marTop w:val="0"/>
      <w:marBottom w:val="0"/>
      <w:divBdr>
        <w:top w:val="none" w:sz="0" w:space="0" w:color="auto"/>
        <w:left w:val="none" w:sz="0" w:space="0" w:color="auto"/>
        <w:bottom w:val="none" w:sz="0" w:space="0" w:color="auto"/>
        <w:right w:val="none" w:sz="0" w:space="0" w:color="auto"/>
      </w:divBdr>
    </w:div>
    <w:div w:id="2009942493">
      <w:bodyDiv w:val="1"/>
      <w:marLeft w:val="0"/>
      <w:marRight w:val="0"/>
      <w:marTop w:val="0"/>
      <w:marBottom w:val="0"/>
      <w:divBdr>
        <w:top w:val="none" w:sz="0" w:space="0" w:color="auto"/>
        <w:left w:val="none" w:sz="0" w:space="0" w:color="auto"/>
        <w:bottom w:val="none" w:sz="0" w:space="0" w:color="auto"/>
        <w:right w:val="none" w:sz="0" w:space="0" w:color="auto"/>
      </w:divBdr>
    </w:div>
    <w:div w:id="211419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w.reform@utas.edu.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OT.Commissioner@equalopportunity.tas.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A7DA0-92B3-4B7E-BA06-CE1C332C2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2456</Words>
  <Characters>14004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The Department of Justice</Company>
  <LinksUpToDate>false</LinksUpToDate>
  <CharactersWithSpaces>16428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Egdom, Melanie</dc:creator>
  <cp:keywords/>
  <dc:description/>
  <cp:lastModifiedBy>van Egdom, Melanie</cp:lastModifiedBy>
  <cp:revision>10</cp:revision>
  <dcterms:created xsi:type="dcterms:W3CDTF">2021-01-19T22:46:00Z</dcterms:created>
  <dcterms:modified xsi:type="dcterms:W3CDTF">2021-01-22T06:08:00Z</dcterms:modified>
</cp:coreProperties>
</file>