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D0" w:rsidRPr="003A511E" w:rsidRDefault="00D62AC3" w:rsidP="003A511E">
      <w:pPr>
        <w:pStyle w:val="Title"/>
        <w:ind w:right="48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-370205</wp:posOffset>
                </wp:positionV>
                <wp:extent cx="5960745" cy="1143000"/>
                <wp:effectExtent l="42545" t="44450" r="45085" b="41275"/>
                <wp:wrapNone/>
                <wp:docPr id="1" name="Arc 2" descr="Australian Council of Human Rights Authorities&#10;Communique 13 November 2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60745" cy="1143000"/>
                        </a:xfrm>
                        <a:custGeom>
                          <a:avLst/>
                          <a:gdLst>
                            <a:gd name="T0" fmla="*/ 0 w 21642"/>
                            <a:gd name="T1" fmla="*/ 0 h 31982"/>
                            <a:gd name="T2" fmla="*/ 2147483647 w 21642"/>
                            <a:gd name="T3" fmla="*/ 2147483647 h 31982"/>
                            <a:gd name="T4" fmla="*/ 2147483647 w 21642"/>
                            <a:gd name="T5" fmla="*/ 2147483647 h 31982"/>
                            <a:gd name="T6" fmla="*/ 0 60000 65536"/>
                            <a:gd name="T7" fmla="*/ 0 60000 65536"/>
                            <a:gd name="T8" fmla="*/ 0 60000 65536"/>
                            <a:gd name="T9" fmla="*/ 3163 w 21642"/>
                            <a:gd name="T10" fmla="*/ 3163 h 31982"/>
                            <a:gd name="T11" fmla="*/ 18437 w 21642"/>
                            <a:gd name="T12" fmla="*/ 18437 h 31982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42" h="31982" fill="none" extrusionOk="0">
                              <a:moveTo>
                                <a:pt x="0" y="0"/>
                              </a:moveTo>
                              <a:cubicBezTo>
                                <a:pt x="14" y="0"/>
                                <a:pt x="28" y="-1"/>
                                <a:pt x="42" y="0"/>
                              </a:cubicBezTo>
                              <a:cubicBezTo>
                                <a:pt x="11971" y="0"/>
                                <a:pt x="21642" y="9670"/>
                                <a:pt x="21642" y="21600"/>
                              </a:cubicBezTo>
                              <a:cubicBezTo>
                                <a:pt x="21642" y="25229"/>
                                <a:pt x="20727" y="28799"/>
                                <a:pt x="18983" y="31982"/>
                              </a:cubicBezTo>
                            </a:path>
                            <a:path w="21642" h="31982" stroke="0" extrusionOk="0">
                              <a:moveTo>
                                <a:pt x="0" y="0"/>
                              </a:moveTo>
                              <a:cubicBezTo>
                                <a:pt x="14" y="0"/>
                                <a:pt x="28" y="-1"/>
                                <a:pt x="42" y="0"/>
                              </a:cubicBezTo>
                              <a:cubicBezTo>
                                <a:pt x="11971" y="0"/>
                                <a:pt x="21642" y="9670"/>
                                <a:pt x="21642" y="21600"/>
                              </a:cubicBezTo>
                              <a:cubicBezTo>
                                <a:pt x="21642" y="25229"/>
                                <a:pt x="20727" y="28799"/>
                                <a:pt x="18983" y="31982"/>
                              </a:cubicBezTo>
                              <a:lnTo>
                                <a:pt x="42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FF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0CA62" id="Arc 2" o:spid="_x0000_s1026" alt="Australian Council of Human Rights Authorities&#10;Communique 13 November 2015" style="position:absolute;margin-left:9.65pt;margin-top:-29.15pt;width:469.35pt;height:90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42,31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" path="m,nfc14,,28,-1,42,,11971,,21642,9670,21642,21600v,3629,-915,7199,-2659,10382em,nsc14,,28,-1,42,,11971,,21642,9670,21642,21600v,3629,-915,7199,-2659,10382l42,21600,,xe" filled="f" strokecolor="#ff9" strokeweight="6pt">
                <v:path arrowok="t" o:extrusionok="f" o:connecttype="custom" o:connectlocs="0,0;2147483646,2147483646;2147483646,2147483646" o:connectangles="0,0,0" textboxrect="3163,3163,18437,18437"/>
              </v:shape>
            </w:pict>
          </mc:Fallback>
        </mc:AlternateContent>
      </w:r>
      <w:r w:rsidR="00C31DD0">
        <w:t>Australian Council of Human Rights Authorities</w:t>
      </w:r>
    </w:p>
    <w:p w:rsidR="00621CD7" w:rsidRDefault="001E2228" w:rsidP="002F3BE4">
      <w:pPr>
        <w:pStyle w:val="Subtitle"/>
      </w:pPr>
      <w:r>
        <w:t xml:space="preserve">Summary </w:t>
      </w:r>
      <w:r w:rsidR="005C4A85">
        <w:t xml:space="preserve">of </w:t>
      </w:r>
      <w:r>
        <w:t>3-4 May</w:t>
      </w:r>
      <w:r w:rsidR="00C31DD0" w:rsidRPr="00867A50">
        <w:t xml:space="preserve"> </w:t>
      </w:r>
      <w:r>
        <w:t>2018</w:t>
      </w:r>
      <w:r w:rsidR="005C4A85" w:rsidRPr="005C4A85">
        <w:t xml:space="preserve"> </w:t>
      </w:r>
      <w:r w:rsidR="005C4A85">
        <w:t>Meeting</w:t>
      </w:r>
    </w:p>
    <w:p w:rsidR="002E0563" w:rsidRDefault="00C31DD0" w:rsidP="003A511E">
      <w:r w:rsidRPr="003A511E">
        <w:t xml:space="preserve">The Australian Council of Human Rights Authorities (ACHRA), which comprises the State, Territory and Federal human rights and discrimination authorities, met in </w:t>
      </w:r>
      <w:r w:rsidR="001E2228">
        <w:t>Sydney</w:t>
      </w:r>
      <w:r w:rsidR="00406A61" w:rsidRPr="003A511E">
        <w:t xml:space="preserve"> </w:t>
      </w:r>
      <w:r w:rsidR="001E2228">
        <w:t>on 3-4 May</w:t>
      </w:r>
      <w:r w:rsidR="00C1470E">
        <w:t xml:space="preserve"> </w:t>
      </w:r>
      <w:r w:rsidR="001E2228">
        <w:t>2018</w:t>
      </w:r>
      <w:r w:rsidR="00AC0260">
        <w:t xml:space="preserve"> </w:t>
      </w:r>
      <w:r w:rsidRPr="003A511E">
        <w:t>to consider a number of issues of common concern and interest.</w:t>
      </w:r>
      <w:r w:rsidR="00406A61" w:rsidRPr="003A511E">
        <w:t xml:space="preserve"> </w:t>
      </w:r>
    </w:p>
    <w:p w:rsidR="002E0563" w:rsidRDefault="001E2228" w:rsidP="002E0563">
      <w:pPr>
        <w:pStyle w:val="Heading1"/>
      </w:pPr>
      <w:r>
        <w:t>Contribution of Commissioner Tim Sout</w:t>
      </w:r>
      <w:r w:rsidR="00CC6977">
        <w:t>p</w:t>
      </w:r>
      <w:r>
        <w:t>h</w:t>
      </w:r>
      <w:r w:rsidR="00CC6977">
        <w:t>ommasane</w:t>
      </w:r>
    </w:p>
    <w:p w:rsidR="007418A6" w:rsidRPr="001D5B4F" w:rsidRDefault="002E0563" w:rsidP="007418A6">
      <w:r>
        <w:t>ACHRA acknowledges the pos</w:t>
      </w:r>
      <w:r w:rsidR="008F4F1A">
        <w:t>iti</w:t>
      </w:r>
      <w:r w:rsidR="001E2228">
        <w:t>ve contribution of Tim</w:t>
      </w:r>
      <w:r w:rsidR="00CC6977">
        <w:t xml:space="preserve"> Soutphommasane</w:t>
      </w:r>
      <w:r w:rsidR="00F63A6D">
        <w:t>, who finishes his</w:t>
      </w:r>
      <w:r>
        <w:t xml:space="preserve"> </w:t>
      </w:r>
      <w:r w:rsidR="001E2228">
        <w:t>five</w:t>
      </w:r>
      <w:r w:rsidR="009F6292">
        <w:t>-</w:t>
      </w:r>
      <w:r w:rsidR="00C755B1">
        <w:t>year term</w:t>
      </w:r>
      <w:r w:rsidR="00B6188C">
        <w:t xml:space="preserve"> as </w:t>
      </w:r>
      <w:r w:rsidR="001E2228">
        <w:t>Federal Race Discrimination Commissioner in August</w:t>
      </w:r>
      <w:r w:rsidR="00B6188C">
        <w:t xml:space="preserve"> 2018</w:t>
      </w:r>
      <w:r w:rsidR="008F4F1A">
        <w:t xml:space="preserve">. </w:t>
      </w:r>
      <w:r w:rsidR="00B6188C">
        <w:t xml:space="preserve">We pay tribute to </w:t>
      </w:r>
      <w:r w:rsidR="00CC6977">
        <w:t xml:space="preserve">the profound impact of </w:t>
      </w:r>
      <w:r w:rsidR="00B6188C" w:rsidRPr="00B6188C">
        <w:t xml:space="preserve">work </w:t>
      </w:r>
      <w:r w:rsidR="00CC6977">
        <w:t xml:space="preserve">in preventing and responding to racism, and </w:t>
      </w:r>
      <w:r w:rsidR="00B6188C" w:rsidRPr="00B6188C">
        <w:t>empowe</w:t>
      </w:r>
      <w:r w:rsidR="00CC6977">
        <w:t xml:space="preserve">ring </w:t>
      </w:r>
      <w:r w:rsidR="00B6188C" w:rsidRPr="00B6188C">
        <w:t>vulnerable members of our community.</w:t>
      </w:r>
      <w:r w:rsidR="00117473">
        <w:t xml:space="preserve"> </w:t>
      </w:r>
    </w:p>
    <w:p w:rsidR="00FF4710" w:rsidRPr="00363492" w:rsidRDefault="00FF4710" w:rsidP="00FF4710">
      <w:pPr>
        <w:pStyle w:val="Heading1"/>
      </w:pPr>
      <w:r>
        <w:rPr>
          <w:rFonts w:eastAsia="Times New Roman"/>
        </w:rPr>
        <w:t>Children’s Right</w:t>
      </w:r>
      <w:r>
        <w:t>s</w:t>
      </w:r>
    </w:p>
    <w:p w:rsidR="00FF4710" w:rsidRPr="0040122B" w:rsidRDefault="00FF4710" w:rsidP="00FF4710">
      <w:pPr>
        <w:rPr>
          <w:rFonts w:ascii="Calibri" w:hAnsi="Calibri" w:cs="Times New Roman"/>
        </w:rPr>
      </w:pPr>
      <w:r>
        <w:t>ACHRA welcomed the</w:t>
      </w:r>
      <w:r w:rsidRPr="008F59F6">
        <w:rPr>
          <w:color w:val="111111"/>
        </w:rPr>
        <w:t xml:space="preserve"> </w:t>
      </w:r>
      <w:r>
        <w:rPr>
          <w:color w:val="111111"/>
        </w:rPr>
        <w:t xml:space="preserve">Report of the </w:t>
      </w:r>
      <w:r w:rsidRPr="008F59F6">
        <w:rPr>
          <w:i/>
          <w:color w:val="111111"/>
        </w:rPr>
        <w:t xml:space="preserve">Royal Commission into the Protection and Detention of Children in the Northern Territory </w:t>
      </w:r>
      <w:r>
        <w:rPr>
          <w:color w:val="111111"/>
        </w:rPr>
        <w:t>released on 17 November 2017 and</w:t>
      </w:r>
      <w:r>
        <w:t xml:space="preserve"> final report of the </w:t>
      </w:r>
      <w:r w:rsidRPr="008F59F6">
        <w:rPr>
          <w:i/>
        </w:rPr>
        <w:t>Royal Commission into Institutional Responses to Child Sexual Abuse</w:t>
      </w:r>
      <w:r>
        <w:t xml:space="preserve"> released on 15 December 2017. </w:t>
      </w:r>
      <w:r w:rsidRPr="0040122B">
        <w:rPr>
          <w:rFonts w:eastAsia="Times New Roman"/>
        </w:rPr>
        <w:t xml:space="preserve">ACHRA </w:t>
      </w:r>
      <w:r w:rsidRPr="0040122B">
        <w:t>he</w:t>
      </w:r>
      <w:r>
        <w:t>ard from Julie Inman-Grant, E-Safety Commissioner about her important work in keeping Australian safer online, including protecting children from cyberbullying, new programs such as eSafety Women, Women Influencing Tech Spaces (WITS)</w:t>
      </w:r>
      <w:r w:rsidR="00B10B94">
        <w:t xml:space="preserve">, Digital Literacy and Safety App for remote indigenous communities and </w:t>
      </w:r>
      <w:r>
        <w:t>Be Connected for older Australians.  The Feder</w:t>
      </w:r>
      <w:r w:rsidRPr="0040122B">
        <w:t xml:space="preserve">al Children’s Commissioner noted </w:t>
      </w:r>
      <w:r w:rsidRPr="0040122B">
        <w:rPr>
          <w:rFonts w:eastAsia="Times New Roman"/>
        </w:rPr>
        <w:t>the development of draft National Statement of Principles on Child Safe Organisations, as part of the National Fram</w:t>
      </w:r>
      <w:r>
        <w:rPr>
          <w:rFonts w:eastAsia="Times New Roman"/>
        </w:rPr>
        <w:t>ework for Protecting Australia</w:t>
      </w:r>
      <w:r w:rsidRPr="0040122B">
        <w:rPr>
          <w:rFonts w:eastAsia="Times New Roman"/>
        </w:rPr>
        <w:t xml:space="preserve">’s Children. </w:t>
      </w:r>
    </w:p>
    <w:p w:rsidR="00FF4710" w:rsidRDefault="00FF4710" w:rsidP="00FF4710">
      <w:pPr>
        <w:pStyle w:val="Heading1"/>
        <w:rPr>
          <w:rFonts w:eastAsia="Times New Roman"/>
          <w:i/>
        </w:rPr>
      </w:pPr>
      <w:r>
        <w:t>Sports, human rights and equality</w:t>
      </w:r>
      <w:r w:rsidRPr="00011A2D">
        <w:rPr>
          <w:rFonts w:eastAsia="Times New Roman"/>
          <w:i/>
        </w:rPr>
        <w:t xml:space="preserve"> </w:t>
      </w:r>
    </w:p>
    <w:p w:rsidR="00FF4710" w:rsidRDefault="00FF4710" w:rsidP="00FF4710">
      <w:pPr>
        <w:pStyle w:val="PlainText"/>
      </w:pPr>
      <w:r>
        <w:t xml:space="preserve">ACHRA met with Peter Downs National Manager of </w:t>
      </w:r>
      <w:r w:rsidRPr="0040122B">
        <w:rPr>
          <w:i/>
        </w:rPr>
        <w:t>Play by the Rules</w:t>
      </w:r>
      <w:r>
        <w:t>,</w:t>
      </w:r>
      <w:r w:rsidRPr="00CC6977">
        <w:t xml:space="preserve"> </w:t>
      </w:r>
      <w:r>
        <w:t>a national inclusive sports program which ACHRA are key partners.</w:t>
      </w:r>
    </w:p>
    <w:p w:rsidR="00062631" w:rsidRDefault="008F4F1A" w:rsidP="003A511E">
      <w:pPr>
        <w:pStyle w:val="Heading1"/>
        <w:tabs>
          <w:tab w:val="left" w:pos="6624"/>
        </w:tabs>
      </w:pPr>
      <w:r>
        <w:t>Gender</w:t>
      </w:r>
      <w:r w:rsidR="00A413EE">
        <w:t xml:space="preserve"> equality</w:t>
      </w:r>
    </w:p>
    <w:p w:rsidR="0092101D" w:rsidRDefault="001A2DBA" w:rsidP="00AD1AB9">
      <w:pPr>
        <w:pStyle w:val="PlainText"/>
        <w:rPr>
          <w:bCs/>
          <w:szCs w:val="22"/>
        </w:rPr>
      </w:pPr>
      <w:bookmarkStart w:id="0" w:name="_GoBack"/>
      <w:r>
        <w:t xml:space="preserve">ACHRA </w:t>
      </w:r>
      <w:r w:rsidR="001E2228">
        <w:t>noted</w:t>
      </w:r>
      <w:r>
        <w:t xml:space="preserve"> the important work </w:t>
      </w:r>
      <w:r w:rsidR="00CC59F3">
        <w:t>promoting</w:t>
      </w:r>
      <w:r>
        <w:t xml:space="preserve"> gender equality in </w:t>
      </w:r>
      <w:r w:rsidR="009A4FF7">
        <w:t xml:space="preserve">institutions, including </w:t>
      </w:r>
      <w:r w:rsidR="001E2228">
        <w:t>auditing</w:t>
      </w:r>
      <w:r w:rsidR="005C4A85">
        <w:t xml:space="preserve"> </w:t>
      </w:r>
      <w:r w:rsidR="00CC6977">
        <w:t xml:space="preserve">implementation of </w:t>
      </w:r>
      <w:r w:rsidR="00FD16D1">
        <w:t xml:space="preserve">the </w:t>
      </w:r>
      <w:r w:rsidR="00FD16D1" w:rsidRPr="00FD16D1">
        <w:t xml:space="preserve">Report </w:t>
      </w:r>
      <w:r w:rsidR="00FD16D1" w:rsidRPr="00FD16D1">
        <w:rPr>
          <w:i/>
        </w:rPr>
        <w:t>Change the Course: National Report on Sexual Assault and Sexual Harassment at Australian Universities</w:t>
      </w:r>
      <w:r w:rsidR="00FD16D1">
        <w:t xml:space="preserve"> by </w:t>
      </w:r>
      <w:r>
        <w:t>the Australian Human Rights Commission</w:t>
      </w:r>
      <w:r w:rsidR="001B2452">
        <w:t xml:space="preserve">. </w:t>
      </w:r>
      <w:r w:rsidR="0092101D" w:rsidRPr="0092101D">
        <w:t xml:space="preserve">The Victorian Equal Opportunity and Human Rights Commission (VEOHRC) and the South Australian Equal Opportunity Commission (SAEOC) are continuing to </w:t>
      </w:r>
      <w:r w:rsidR="005C4A85">
        <w:t>work wi</w:t>
      </w:r>
      <w:r w:rsidR="00DE060B">
        <w:t xml:space="preserve">th the police </w:t>
      </w:r>
      <w:r w:rsidR="005C4A85">
        <w:t>agencies</w:t>
      </w:r>
      <w:r w:rsidR="0092101D" w:rsidRPr="0092101D">
        <w:t xml:space="preserve"> in their respective States to monitor and audit progress against the recommendations in their reports into sex discrimination and sexual harassment, including p</w:t>
      </w:r>
      <w:r w:rsidR="005C4A85">
        <w:t xml:space="preserve">redatory behaviour among </w:t>
      </w:r>
      <w:r w:rsidR="0092101D" w:rsidRPr="0092101D">
        <w:t>per</w:t>
      </w:r>
      <w:r w:rsidR="005C4A85">
        <w:t>sonnel. </w:t>
      </w:r>
      <w:r w:rsidR="00DE060B">
        <w:t>VEOHRC is also working with the Country Fire Authority and Metropolitan Fire Brigade.</w:t>
      </w:r>
    </w:p>
    <w:bookmarkEnd w:id="0"/>
    <w:p w:rsidR="00FF4710" w:rsidRDefault="00FF4710" w:rsidP="00FF4710">
      <w:pPr>
        <w:pStyle w:val="Heading1"/>
      </w:pPr>
      <w:r>
        <w:lastRenderedPageBreak/>
        <w:t>Human Rights</w:t>
      </w:r>
    </w:p>
    <w:p w:rsidR="00FF4710" w:rsidRPr="00FF4710" w:rsidRDefault="00FF4710" w:rsidP="00FF4710">
      <w:pPr>
        <w:pStyle w:val="Heading1"/>
      </w:pPr>
      <w:r w:rsidRPr="00FF4710">
        <w:rPr>
          <w:b w:val="0"/>
          <w:color w:val="auto"/>
          <w:sz w:val="22"/>
          <w:szCs w:val="22"/>
        </w:rPr>
        <w:t>Aruna Sathanpally</w:t>
      </w:r>
      <w:r>
        <w:rPr>
          <w:b w:val="0"/>
          <w:color w:val="auto"/>
          <w:sz w:val="22"/>
          <w:szCs w:val="22"/>
        </w:rPr>
        <w:t xml:space="preserve"> from the Human Rights Law Centre talked to AC</w:t>
      </w:r>
      <w:r w:rsidRPr="00FF4710">
        <w:rPr>
          <w:b w:val="0"/>
          <w:color w:val="auto"/>
          <w:sz w:val="22"/>
          <w:szCs w:val="22"/>
        </w:rPr>
        <w:t>H</w:t>
      </w:r>
      <w:r>
        <w:rPr>
          <w:b w:val="0"/>
          <w:color w:val="auto"/>
          <w:sz w:val="22"/>
          <w:szCs w:val="22"/>
        </w:rPr>
        <w:t>R</w:t>
      </w:r>
      <w:r w:rsidRPr="00FF4710">
        <w:rPr>
          <w:b w:val="0"/>
          <w:color w:val="auto"/>
          <w:sz w:val="22"/>
          <w:szCs w:val="22"/>
        </w:rPr>
        <w:t xml:space="preserve">A about her work on Democracy and Human Rights </w:t>
      </w:r>
    </w:p>
    <w:p w:rsidR="00B52992" w:rsidRDefault="00B52992" w:rsidP="00B52992">
      <w:pPr>
        <w:pStyle w:val="Heading1"/>
      </w:pPr>
      <w:r>
        <w:t>Disability rights</w:t>
      </w:r>
    </w:p>
    <w:p w:rsidR="00B52992" w:rsidRDefault="00B52992" w:rsidP="00B52992">
      <w:r>
        <w:t>ACHRA discussed the National Disability Insurance Agency’s Quality and Safeguard Framework, and national roundtables being held on violence in institutions by the Disability Discrimination Commissioner.</w:t>
      </w:r>
    </w:p>
    <w:p w:rsidR="004276ED" w:rsidRPr="00363492" w:rsidRDefault="00FC53F5" w:rsidP="004276ED">
      <w:pPr>
        <w:pStyle w:val="Heading1"/>
      </w:pPr>
      <w:r>
        <w:t>Optional Protocol on Convention Against Torture</w:t>
      </w:r>
    </w:p>
    <w:p w:rsidR="004276ED" w:rsidRPr="004C25AF" w:rsidRDefault="004C25AF" w:rsidP="004276ED">
      <w:pPr>
        <w:pStyle w:val="PlainText"/>
        <w:rPr>
          <w:lang w:val="en-GB"/>
        </w:rPr>
      </w:pPr>
      <w:r>
        <w:rPr>
          <w:lang w:val="en-GB"/>
        </w:rPr>
        <w:t>ACHRA commend</w:t>
      </w:r>
      <w:r w:rsidR="001E2228">
        <w:rPr>
          <w:lang w:val="en-GB"/>
        </w:rPr>
        <w:t>s</w:t>
      </w:r>
      <w:r>
        <w:rPr>
          <w:lang w:val="en-GB"/>
        </w:rPr>
        <w:t xml:space="preserve"> the Australian Government’s </w:t>
      </w:r>
      <w:r w:rsidR="001E2228">
        <w:rPr>
          <w:lang w:val="en-GB"/>
        </w:rPr>
        <w:t>ratification of</w:t>
      </w:r>
      <w:r>
        <w:rPr>
          <w:lang w:val="en-GB"/>
        </w:rPr>
        <w:t xml:space="preserve"> the Optional Protocol to the Conve</w:t>
      </w:r>
      <w:r w:rsidR="001E2228">
        <w:rPr>
          <w:lang w:val="en-GB"/>
        </w:rPr>
        <w:t>ntion Against Torture (OPCAT) in</w:t>
      </w:r>
      <w:r w:rsidR="005C4A85">
        <w:rPr>
          <w:lang w:val="en-GB"/>
        </w:rPr>
        <w:t xml:space="preserve"> December 2017. </w:t>
      </w:r>
      <w:r w:rsidR="00BB183C">
        <w:t xml:space="preserve">ACHRA </w:t>
      </w:r>
      <w:r w:rsidR="0040122B">
        <w:t>welcomes t</w:t>
      </w:r>
      <w:r w:rsidR="00840B6C">
        <w:t>he</w:t>
      </w:r>
      <w:r w:rsidR="0040122B">
        <w:t xml:space="preserve"> work of the</w:t>
      </w:r>
      <w:r w:rsidR="00840B6C">
        <w:t xml:space="preserve"> Australian Hu</w:t>
      </w:r>
      <w:r w:rsidR="00B6188C">
        <w:t xml:space="preserve">man Rights Commission </w:t>
      </w:r>
      <w:r w:rsidR="0040122B">
        <w:t>in ho</w:t>
      </w:r>
      <w:r w:rsidR="00B6188C">
        <w:t>ld</w:t>
      </w:r>
      <w:r w:rsidR="0040122B">
        <w:t>ing</w:t>
      </w:r>
      <w:r w:rsidR="00B6188C">
        <w:t xml:space="preserve"> </w:t>
      </w:r>
      <w:r w:rsidR="00CC59F3">
        <w:t xml:space="preserve">stakeholder consultations </w:t>
      </w:r>
      <w:r w:rsidR="005C4A85">
        <w:t>on implementation of OPCAT</w:t>
      </w:r>
      <w:r w:rsidR="00840B6C">
        <w:t>.</w:t>
      </w:r>
      <w:r w:rsidR="00FC53F5">
        <w:t xml:space="preserve"> </w:t>
      </w:r>
    </w:p>
    <w:p w:rsidR="00011A2D" w:rsidRPr="00117473" w:rsidRDefault="00011A2D" w:rsidP="00011A2D">
      <w:pPr>
        <w:rPr>
          <w:rFonts w:eastAsia="Times New Roman"/>
        </w:rPr>
      </w:pPr>
      <w:r w:rsidRPr="00DC2B3E">
        <w:rPr>
          <w:rFonts w:eastAsia="Times New Roman"/>
          <w:b/>
          <w:color w:val="00B050"/>
          <w:sz w:val="28"/>
          <w:szCs w:val="28"/>
        </w:rPr>
        <w:t>Older Australian</w:t>
      </w:r>
      <w:r>
        <w:rPr>
          <w:rFonts w:eastAsia="Times New Roman"/>
          <w:b/>
          <w:color w:val="00B050"/>
          <w:sz w:val="28"/>
          <w:szCs w:val="28"/>
        </w:rPr>
        <w:t>s</w:t>
      </w:r>
    </w:p>
    <w:p w:rsidR="00011A2D" w:rsidRPr="00011A2D" w:rsidRDefault="00011A2D" w:rsidP="00011A2D">
      <w:pPr>
        <w:rPr>
          <w:rFonts w:eastAsia="Times New Roman"/>
        </w:rPr>
      </w:pPr>
      <w:r>
        <w:rPr>
          <w:rFonts w:eastAsia="Times New Roman"/>
        </w:rPr>
        <w:t xml:space="preserve">ACHRA in concerned </w:t>
      </w:r>
      <w:r w:rsidR="00CC6977">
        <w:rPr>
          <w:rFonts w:eastAsia="Times New Roman"/>
        </w:rPr>
        <w:t xml:space="preserve">that </w:t>
      </w:r>
      <w:r w:rsidR="005C4A85">
        <w:rPr>
          <w:rFonts w:eastAsia="Times New Roman"/>
        </w:rPr>
        <w:t>age discrimination</w:t>
      </w:r>
      <w:r>
        <w:rPr>
          <w:rFonts w:eastAsia="Times New Roman"/>
        </w:rPr>
        <w:t xml:space="preserve"> </w:t>
      </w:r>
      <w:r w:rsidR="00CC6977">
        <w:rPr>
          <w:rFonts w:eastAsia="Times New Roman"/>
        </w:rPr>
        <w:t xml:space="preserve">is </w:t>
      </w:r>
      <w:r>
        <w:rPr>
          <w:rFonts w:eastAsia="Times New Roman"/>
        </w:rPr>
        <w:t>d</w:t>
      </w:r>
      <w:r w:rsidR="005C4A85">
        <w:rPr>
          <w:rFonts w:eastAsia="Times New Roman"/>
        </w:rPr>
        <w:t xml:space="preserve">riving </w:t>
      </w:r>
      <w:r w:rsidR="00B6188C">
        <w:rPr>
          <w:rFonts w:eastAsia="Times New Roman"/>
        </w:rPr>
        <w:t>elder abuse</w:t>
      </w:r>
      <w:r w:rsidR="005C4A85">
        <w:rPr>
          <w:rFonts w:eastAsia="Times New Roman"/>
        </w:rPr>
        <w:t xml:space="preserve"> and </w:t>
      </w:r>
      <w:r w:rsidR="00B6188C">
        <w:rPr>
          <w:rFonts w:eastAsia="Times New Roman"/>
        </w:rPr>
        <w:t>commend</w:t>
      </w:r>
      <w:r w:rsidR="005C4A85">
        <w:rPr>
          <w:rFonts w:eastAsia="Times New Roman"/>
        </w:rPr>
        <w:t>s the reports of</w:t>
      </w:r>
      <w:r w:rsidR="009A4FF7">
        <w:rPr>
          <w:rFonts w:eastAsia="Times New Roman"/>
        </w:rPr>
        <w:t xml:space="preserve"> </w:t>
      </w:r>
      <w:r w:rsidR="00CC59F3">
        <w:rPr>
          <w:rFonts w:eastAsia="Times New Roman"/>
        </w:rPr>
        <w:t xml:space="preserve">the </w:t>
      </w:r>
      <w:r>
        <w:rPr>
          <w:rFonts w:eastAsia="Times New Roman"/>
        </w:rPr>
        <w:t>Australian Law Reform Commission</w:t>
      </w:r>
      <w:r w:rsidR="009F6292">
        <w:rPr>
          <w:rFonts w:eastAsia="Times New Roman"/>
        </w:rPr>
        <w:t>’s</w:t>
      </w:r>
      <w:r>
        <w:rPr>
          <w:rFonts w:eastAsia="Times New Roman"/>
        </w:rPr>
        <w:t xml:space="preserve"> </w:t>
      </w:r>
      <w:r w:rsidR="00B6188C">
        <w:rPr>
          <w:rFonts w:eastAsia="Times New Roman"/>
        </w:rPr>
        <w:t xml:space="preserve">Report on </w:t>
      </w:r>
      <w:r w:rsidRPr="00117473">
        <w:rPr>
          <w:rFonts w:eastAsia="Times New Roman"/>
          <w:i/>
        </w:rPr>
        <w:t>Elder Abuse</w:t>
      </w:r>
      <w:r w:rsidR="005C4A85">
        <w:rPr>
          <w:rFonts w:eastAsia="Times New Roman"/>
        </w:rPr>
        <w:t xml:space="preserve"> (</w:t>
      </w:r>
      <w:r>
        <w:rPr>
          <w:rFonts w:eastAsia="Times New Roman"/>
        </w:rPr>
        <w:t>2017</w:t>
      </w:r>
      <w:r w:rsidR="005C4A85">
        <w:rPr>
          <w:rFonts w:eastAsia="Times New Roman"/>
        </w:rPr>
        <w:t xml:space="preserve">) </w:t>
      </w:r>
      <w:r w:rsidR="009F6292">
        <w:rPr>
          <w:rFonts w:eastAsia="Times New Roman"/>
        </w:rPr>
        <w:t xml:space="preserve">and the Australian Human Rights Commission’s </w:t>
      </w:r>
      <w:r w:rsidR="009F6292" w:rsidRPr="009F6292">
        <w:rPr>
          <w:rFonts w:eastAsia="Times New Roman"/>
          <w:i/>
        </w:rPr>
        <w:t>Willing To Work</w:t>
      </w:r>
      <w:r w:rsidR="005C4A85">
        <w:rPr>
          <w:rFonts w:eastAsia="Times New Roman"/>
        </w:rPr>
        <w:t xml:space="preserve"> Report (</w:t>
      </w:r>
      <w:r w:rsidR="009F6292">
        <w:rPr>
          <w:rFonts w:eastAsia="Times New Roman"/>
        </w:rPr>
        <w:t>2016</w:t>
      </w:r>
      <w:r w:rsidR="005C4A85">
        <w:rPr>
          <w:rFonts w:eastAsia="Times New Roman"/>
        </w:rPr>
        <w:t>)</w:t>
      </w:r>
      <w:r w:rsidR="009F6292">
        <w:rPr>
          <w:rFonts w:eastAsia="Times New Roman"/>
        </w:rPr>
        <w:t>.</w:t>
      </w:r>
    </w:p>
    <w:p w:rsidR="008F59F6" w:rsidRDefault="008F59F6" w:rsidP="00CC59F3">
      <w:pPr>
        <w:pStyle w:val="Heading1"/>
      </w:pPr>
      <w:r>
        <w:t xml:space="preserve">Rights of Aboriginal and Torres Strait Islander Peoples </w:t>
      </w:r>
    </w:p>
    <w:p w:rsidR="008F59F6" w:rsidRPr="008F59F6" w:rsidRDefault="008F59F6" w:rsidP="008F59F6">
      <w:r>
        <w:t xml:space="preserve">ACHRA heard from Judge Matt Myers about the Repot of the Australian Law Reform Commission’s </w:t>
      </w:r>
      <w:r w:rsidRPr="008F59F6">
        <w:rPr>
          <w:i/>
        </w:rPr>
        <w:t>Pathways to Justice: Incarceration Rate of Aboriginal and Torres Strait Islander Peoples</w:t>
      </w:r>
      <w:r w:rsidR="00FF4710">
        <w:rPr>
          <w:i/>
        </w:rPr>
        <w:t>.</w:t>
      </w:r>
      <w:r>
        <w:rPr>
          <w:i/>
        </w:rPr>
        <w:t xml:space="preserve"> </w:t>
      </w:r>
    </w:p>
    <w:p w:rsidR="00B6188C" w:rsidRPr="00011A2D" w:rsidRDefault="00B6188C" w:rsidP="00B6188C">
      <w:pPr>
        <w:pStyle w:val="PlainText"/>
      </w:pPr>
    </w:p>
    <w:p w:rsidR="00C31DD0" w:rsidRDefault="00C31DD0" w:rsidP="005C4A85">
      <w:pPr>
        <w:pStyle w:val="Bulletedtext"/>
        <w:numPr>
          <w:ilvl w:val="0"/>
          <w:numId w:val="0"/>
        </w:numPr>
        <w:ind w:left="714" w:hanging="357"/>
      </w:pPr>
    </w:p>
    <w:sectPr w:rsidR="00C31DD0" w:rsidSect="003A511E">
      <w:pgSz w:w="12240" w:h="15840"/>
      <w:pgMar w:top="1418" w:right="1134" w:bottom="1134" w:left="1134" w:header="720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BE4" w:rsidRDefault="002F3BE4" w:rsidP="003A511E">
      <w:r>
        <w:separator/>
      </w:r>
    </w:p>
  </w:endnote>
  <w:endnote w:type="continuationSeparator" w:id="0">
    <w:p w:rsidR="002F3BE4" w:rsidRDefault="002F3BE4" w:rsidP="003A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BE4" w:rsidRDefault="002F3BE4" w:rsidP="003A511E">
      <w:r>
        <w:separator/>
      </w:r>
    </w:p>
  </w:footnote>
  <w:footnote w:type="continuationSeparator" w:id="0">
    <w:p w:rsidR="002F3BE4" w:rsidRDefault="002F3BE4" w:rsidP="003A5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3271"/>
    <w:multiLevelType w:val="hybridMultilevel"/>
    <w:tmpl w:val="B28E7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A1060"/>
    <w:multiLevelType w:val="hybridMultilevel"/>
    <w:tmpl w:val="A7144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8060E"/>
    <w:multiLevelType w:val="hybridMultilevel"/>
    <w:tmpl w:val="CE3209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F377F6"/>
    <w:multiLevelType w:val="hybridMultilevel"/>
    <w:tmpl w:val="7EBA1916"/>
    <w:lvl w:ilvl="0" w:tplc="2E6C4362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E6FFA"/>
    <w:multiLevelType w:val="hybridMultilevel"/>
    <w:tmpl w:val="9FEEF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B7F26"/>
    <w:multiLevelType w:val="hybridMultilevel"/>
    <w:tmpl w:val="4380E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1FA0"/>
    <w:multiLevelType w:val="multilevel"/>
    <w:tmpl w:val="E6F0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EA97571"/>
    <w:multiLevelType w:val="hybridMultilevel"/>
    <w:tmpl w:val="7DF0C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D4DB1"/>
    <w:multiLevelType w:val="hybridMultilevel"/>
    <w:tmpl w:val="6B867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72B02"/>
    <w:multiLevelType w:val="hybridMultilevel"/>
    <w:tmpl w:val="27681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80867"/>
    <w:multiLevelType w:val="hybridMultilevel"/>
    <w:tmpl w:val="239694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BB2811"/>
    <w:multiLevelType w:val="hybridMultilevel"/>
    <w:tmpl w:val="89668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D57D9"/>
    <w:multiLevelType w:val="hybridMultilevel"/>
    <w:tmpl w:val="F084B0F2"/>
    <w:lvl w:ilvl="0" w:tplc="C1B017F2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68A5"/>
    <w:multiLevelType w:val="hybridMultilevel"/>
    <w:tmpl w:val="AB928D42"/>
    <w:lvl w:ilvl="0" w:tplc="1EF4ED16">
      <w:start w:val="1"/>
      <w:numFmt w:val="decimal"/>
      <w:pStyle w:val="Heading2"/>
      <w:lvlText w:val="%1."/>
      <w:lvlJc w:val="left"/>
      <w:pPr>
        <w:ind w:left="360" w:hanging="360"/>
      </w:pPr>
    </w:lvl>
    <w:lvl w:ilvl="1" w:tplc="C03AEC6A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13"/>
  </w:num>
  <w:num w:numId="12">
    <w:abstractNumId w:val="13"/>
  </w:num>
  <w:num w:numId="13">
    <w:abstractNumId w:val="1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BC73B3A-FD44-41FF-ABBC-8F2754D2D94F}"/>
    <w:docVar w:name="dgnword-eventsink" w:val="84888008"/>
  </w:docVars>
  <w:rsids>
    <w:rsidRoot w:val="00DE32B6"/>
    <w:rsid w:val="00007B57"/>
    <w:rsid w:val="00011A2D"/>
    <w:rsid w:val="0001228B"/>
    <w:rsid w:val="0002575F"/>
    <w:rsid w:val="00037B3A"/>
    <w:rsid w:val="00043BBE"/>
    <w:rsid w:val="00060D20"/>
    <w:rsid w:val="00062631"/>
    <w:rsid w:val="000A2FD1"/>
    <w:rsid w:val="000A5DF1"/>
    <w:rsid w:val="000B4907"/>
    <w:rsid w:val="000B7BFF"/>
    <w:rsid w:val="000D2790"/>
    <w:rsid w:val="000D2F81"/>
    <w:rsid w:val="000D5716"/>
    <w:rsid w:val="000D6676"/>
    <w:rsid w:val="000D6F21"/>
    <w:rsid w:val="000E3128"/>
    <w:rsid w:val="000F06FF"/>
    <w:rsid w:val="000F232B"/>
    <w:rsid w:val="00105E93"/>
    <w:rsid w:val="0011093F"/>
    <w:rsid w:val="00117473"/>
    <w:rsid w:val="0012316D"/>
    <w:rsid w:val="00125C91"/>
    <w:rsid w:val="00133089"/>
    <w:rsid w:val="0013510D"/>
    <w:rsid w:val="001458F1"/>
    <w:rsid w:val="00147D02"/>
    <w:rsid w:val="0015137F"/>
    <w:rsid w:val="00151B21"/>
    <w:rsid w:val="00163269"/>
    <w:rsid w:val="00164E00"/>
    <w:rsid w:val="00170A41"/>
    <w:rsid w:val="001831AC"/>
    <w:rsid w:val="00195FE5"/>
    <w:rsid w:val="001A2DBA"/>
    <w:rsid w:val="001A405C"/>
    <w:rsid w:val="001A7DF0"/>
    <w:rsid w:val="001B2452"/>
    <w:rsid w:val="001B50B5"/>
    <w:rsid w:val="001C3CCF"/>
    <w:rsid w:val="001C6341"/>
    <w:rsid w:val="001D5B4F"/>
    <w:rsid w:val="001E2228"/>
    <w:rsid w:val="001E3DDA"/>
    <w:rsid w:val="001F00AB"/>
    <w:rsid w:val="001F0308"/>
    <w:rsid w:val="001F44DC"/>
    <w:rsid w:val="002102C8"/>
    <w:rsid w:val="00211C97"/>
    <w:rsid w:val="00221B76"/>
    <w:rsid w:val="00221D1E"/>
    <w:rsid w:val="0024024C"/>
    <w:rsid w:val="00240761"/>
    <w:rsid w:val="002408DE"/>
    <w:rsid w:val="00243BB4"/>
    <w:rsid w:val="002503E7"/>
    <w:rsid w:val="00251CCD"/>
    <w:rsid w:val="002703D3"/>
    <w:rsid w:val="002729A2"/>
    <w:rsid w:val="00280061"/>
    <w:rsid w:val="00283A7E"/>
    <w:rsid w:val="00291406"/>
    <w:rsid w:val="002B3E9A"/>
    <w:rsid w:val="002B72FA"/>
    <w:rsid w:val="002D6C88"/>
    <w:rsid w:val="002E0563"/>
    <w:rsid w:val="002F3692"/>
    <w:rsid w:val="002F3BE4"/>
    <w:rsid w:val="003008C0"/>
    <w:rsid w:val="0031000B"/>
    <w:rsid w:val="00315FA1"/>
    <w:rsid w:val="00343715"/>
    <w:rsid w:val="00345618"/>
    <w:rsid w:val="00346176"/>
    <w:rsid w:val="00350F40"/>
    <w:rsid w:val="00356839"/>
    <w:rsid w:val="00360E29"/>
    <w:rsid w:val="00361844"/>
    <w:rsid w:val="00363492"/>
    <w:rsid w:val="00364C91"/>
    <w:rsid w:val="0036513E"/>
    <w:rsid w:val="00367565"/>
    <w:rsid w:val="0037501D"/>
    <w:rsid w:val="003974C9"/>
    <w:rsid w:val="003A2DA4"/>
    <w:rsid w:val="003A3CD3"/>
    <w:rsid w:val="003A511E"/>
    <w:rsid w:val="003B7643"/>
    <w:rsid w:val="003C433E"/>
    <w:rsid w:val="003F096A"/>
    <w:rsid w:val="003F0EBF"/>
    <w:rsid w:val="003F1CAC"/>
    <w:rsid w:val="0040122B"/>
    <w:rsid w:val="00402D47"/>
    <w:rsid w:val="004042E5"/>
    <w:rsid w:val="00406A61"/>
    <w:rsid w:val="0041717D"/>
    <w:rsid w:val="00422BE5"/>
    <w:rsid w:val="004276ED"/>
    <w:rsid w:val="00427A53"/>
    <w:rsid w:val="0043360B"/>
    <w:rsid w:val="00436088"/>
    <w:rsid w:val="00441079"/>
    <w:rsid w:val="00454DBB"/>
    <w:rsid w:val="0046485E"/>
    <w:rsid w:val="00473090"/>
    <w:rsid w:val="00476022"/>
    <w:rsid w:val="00485566"/>
    <w:rsid w:val="00487441"/>
    <w:rsid w:val="00492F54"/>
    <w:rsid w:val="004945D4"/>
    <w:rsid w:val="004B0957"/>
    <w:rsid w:val="004B1E05"/>
    <w:rsid w:val="004B3801"/>
    <w:rsid w:val="004C25AF"/>
    <w:rsid w:val="004C5D2C"/>
    <w:rsid w:val="004D1584"/>
    <w:rsid w:val="004E122B"/>
    <w:rsid w:val="004E25DB"/>
    <w:rsid w:val="004F0272"/>
    <w:rsid w:val="0053142F"/>
    <w:rsid w:val="00545C4F"/>
    <w:rsid w:val="005518CA"/>
    <w:rsid w:val="00561779"/>
    <w:rsid w:val="00561F78"/>
    <w:rsid w:val="0056208D"/>
    <w:rsid w:val="00567749"/>
    <w:rsid w:val="00573B94"/>
    <w:rsid w:val="00583FC6"/>
    <w:rsid w:val="00585527"/>
    <w:rsid w:val="005A136A"/>
    <w:rsid w:val="005A1A82"/>
    <w:rsid w:val="005A2079"/>
    <w:rsid w:val="005A5F4E"/>
    <w:rsid w:val="005C4A85"/>
    <w:rsid w:val="005D2ADA"/>
    <w:rsid w:val="005E1A5E"/>
    <w:rsid w:val="005E1E69"/>
    <w:rsid w:val="005E2631"/>
    <w:rsid w:val="005E41D3"/>
    <w:rsid w:val="005F1B1B"/>
    <w:rsid w:val="00605489"/>
    <w:rsid w:val="00605E13"/>
    <w:rsid w:val="006067E5"/>
    <w:rsid w:val="006139ED"/>
    <w:rsid w:val="00621CD7"/>
    <w:rsid w:val="00632095"/>
    <w:rsid w:val="00634510"/>
    <w:rsid w:val="00654BFC"/>
    <w:rsid w:val="00672B35"/>
    <w:rsid w:val="00675917"/>
    <w:rsid w:val="0067619D"/>
    <w:rsid w:val="00695E6C"/>
    <w:rsid w:val="006A4E21"/>
    <w:rsid w:val="006B4BA0"/>
    <w:rsid w:val="006C25F7"/>
    <w:rsid w:val="006C7A4C"/>
    <w:rsid w:val="006E0ABB"/>
    <w:rsid w:val="00706B93"/>
    <w:rsid w:val="00707354"/>
    <w:rsid w:val="0074120B"/>
    <w:rsid w:val="007418A6"/>
    <w:rsid w:val="00750FAC"/>
    <w:rsid w:val="007575C8"/>
    <w:rsid w:val="00766EBD"/>
    <w:rsid w:val="00772AE0"/>
    <w:rsid w:val="00776CEE"/>
    <w:rsid w:val="007820B0"/>
    <w:rsid w:val="00783307"/>
    <w:rsid w:val="007C42A3"/>
    <w:rsid w:val="007D5AD9"/>
    <w:rsid w:val="007E1A50"/>
    <w:rsid w:val="00805549"/>
    <w:rsid w:val="00806EB1"/>
    <w:rsid w:val="00822820"/>
    <w:rsid w:val="008330D5"/>
    <w:rsid w:val="00833E2E"/>
    <w:rsid w:val="00840B6C"/>
    <w:rsid w:val="00856A49"/>
    <w:rsid w:val="00867A50"/>
    <w:rsid w:val="008716CB"/>
    <w:rsid w:val="00874A06"/>
    <w:rsid w:val="008845BA"/>
    <w:rsid w:val="00887023"/>
    <w:rsid w:val="008903C5"/>
    <w:rsid w:val="0089588A"/>
    <w:rsid w:val="008A065E"/>
    <w:rsid w:val="008B6A93"/>
    <w:rsid w:val="008C1014"/>
    <w:rsid w:val="008C262F"/>
    <w:rsid w:val="008C73EC"/>
    <w:rsid w:val="008D0047"/>
    <w:rsid w:val="008D23A2"/>
    <w:rsid w:val="008E7996"/>
    <w:rsid w:val="008F39E8"/>
    <w:rsid w:val="008F4F1A"/>
    <w:rsid w:val="008F59F6"/>
    <w:rsid w:val="008F7681"/>
    <w:rsid w:val="00901610"/>
    <w:rsid w:val="009063DA"/>
    <w:rsid w:val="0091167E"/>
    <w:rsid w:val="00911C9B"/>
    <w:rsid w:val="00912DDF"/>
    <w:rsid w:val="0092101D"/>
    <w:rsid w:val="00927D7C"/>
    <w:rsid w:val="00930D2E"/>
    <w:rsid w:val="009310A7"/>
    <w:rsid w:val="009502A6"/>
    <w:rsid w:val="009540A4"/>
    <w:rsid w:val="00961FEB"/>
    <w:rsid w:val="0096371B"/>
    <w:rsid w:val="00982C2F"/>
    <w:rsid w:val="009856A6"/>
    <w:rsid w:val="00994F9F"/>
    <w:rsid w:val="009A178E"/>
    <w:rsid w:val="009A4FF7"/>
    <w:rsid w:val="009B15EC"/>
    <w:rsid w:val="009B1EA9"/>
    <w:rsid w:val="009C6915"/>
    <w:rsid w:val="009C6A14"/>
    <w:rsid w:val="009C775A"/>
    <w:rsid w:val="009D21B3"/>
    <w:rsid w:val="009D5240"/>
    <w:rsid w:val="009F0526"/>
    <w:rsid w:val="009F4375"/>
    <w:rsid w:val="009F6292"/>
    <w:rsid w:val="00A114B4"/>
    <w:rsid w:val="00A133A5"/>
    <w:rsid w:val="00A331C4"/>
    <w:rsid w:val="00A413EE"/>
    <w:rsid w:val="00A54107"/>
    <w:rsid w:val="00A565A0"/>
    <w:rsid w:val="00A60A30"/>
    <w:rsid w:val="00A673E5"/>
    <w:rsid w:val="00A87C72"/>
    <w:rsid w:val="00AB1F5D"/>
    <w:rsid w:val="00AC0260"/>
    <w:rsid w:val="00AC1673"/>
    <w:rsid w:val="00AC25B0"/>
    <w:rsid w:val="00AC43BC"/>
    <w:rsid w:val="00AD1AB9"/>
    <w:rsid w:val="00AD60C7"/>
    <w:rsid w:val="00B10B94"/>
    <w:rsid w:val="00B16875"/>
    <w:rsid w:val="00B17A47"/>
    <w:rsid w:val="00B344BB"/>
    <w:rsid w:val="00B465EF"/>
    <w:rsid w:val="00B478AE"/>
    <w:rsid w:val="00B528BC"/>
    <w:rsid w:val="00B52992"/>
    <w:rsid w:val="00B54259"/>
    <w:rsid w:val="00B6188C"/>
    <w:rsid w:val="00B61BA0"/>
    <w:rsid w:val="00B633B3"/>
    <w:rsid w:val="00B6434B"/>
    <w:rsid w:val="00B75FE4"/>
    <w:rsid w:val="00B83E3B"/>
    <w:rsid w:val="00B90C1E"/>
    <w:rsid w:val="00B95BE8"/>
    <w:rsid w:val="00BA4730"/>
    <w:rsid w:val="00BB183C"/>
    <w:rsid w:val="00BD2B44"/>
    <w:rsid w:val="00BD427E"/>
    <w:rsid w:val="00BD5907"/>
    <w:rsid w:val="00C07C22"/>
    <w:rsid w:val="00C12C1E"/>
    <w:rsid w:val="00C1470E"/>
    <w:rsid w:val="00C156D2"/>
    <w:rsid w:val="00C1686C"/>
    <w:rsid w:val="00C20864"/>
    <w:rsid w:val="00C21D1B"/>
    <w:rsid w:val="00C31C0D"/>
    <w:rsid w:val="00C31DD0"/>
    <w:rsid w:val="00C472DB"/>
    <w:rsid w:val="00C50DE3"/>
    <w:rsid w:val="00C54228"/>
    <w:rsid w:val="00C7304A"/>
    <w:rsid w:val="00C755B1"/>
    <w:rsid w:val="00C75B99"/>
    <w:rsid w:val="00C75FA6"/>
    <w:rsid w:val="00C828F0"/>
    <w:rsid w:val="00C907BE"/>
    <w:rsid w:val="00CC2126"/>
    <w:rsid w:val="00CC59F3"/>
    <w:rsid w:val="00CC5E8A"/>
    <w:rsid w:val="00CC6977"/>
    <w:rsid w:val="00CD29E3"/>
    <w:rsid w:val="00CD7438"/>
    <w:rsid w:val="00CE0902"/>
    <w:rsid w:val="00CE4044"/>
    <w:rsid w:val="00CF2F67"/>
    <w:rsid w:val="00CF37E3"/>
    <w:rsid w:val="00D10D73"/>
    <w:rsid w:val="00D2187B"/>
    <w:rsid w:val="00D23514"/>
    <w:rsid w:val="00D264B4"/>
    <w:rsid w:val="00D31B91"/>
    <w:rsid w:val="00D4736B"/>
    <w:rsid w:val="00D55702"/>
    <w:rsid w:val="00D57ECB"/>
    <w:rsid w:val="00D62AC3"/>
    <w:rsid w:val="00D62D40"/>
    <w:rsid w:val="00DA2ABB"/>
    <w:rsid w:val="00DA4576"/>
    <w:rsid w:val="00DB0076"/>
    <w:rsid w:val="00DB7AEA"/>
    <w:rsid w:val="00DC2B3E"/>
    <w:rsid w:val="00DC472C"/>
    <w:rsid w:val="00DD1FB3"/>
    <w:rsid w:val="00DD4C5D"/>
    <w:rsid w:val="00DD5BBB"/>
    <w:rsid w:val="00DE060B"/>
    <w:rsid w:val="00DE32B6"/>
    <w:rsid w:val="00DF5A4A"/>
    <w:rsid w:val="00E03B4A"/>
    <w:rsid w:val="00E10ACB"/>
    <w:rsid w:val="00E26362"/>
    <w:rsid w:val="00E31B6A"/>
    <w:rsid w:val="00E3741E"/>
    <w:rsid w:val="00E422C0"/>
    <w:rsid w:val="00E43167"/>
    <w:rsid w:val="00E44247"/>
    <w:rsid w:val="00E45F7E"/>
    <w:rsid w:val="00E508BD"/>
    <w:rsid w:val="00E56D5E"/>
    <w:rsid w:val="00E56E0C"/>
    <w:rsid w:val="00E6540A"/>
    <w:rsid w:val="00E75466"/>
    <w:rsid w:val="00E81082"/>
    <w:rsid w:val="00E835A5"/>
    <w:rsid w:val="00E955D0"/>
    <w:rsid w:val="00EB30E6"/>
    <w:rsid w:val="00EB5B0C"/>
    <w:rsid w:val="00EB7A4A"/>
    <w:rsid w:val="00EC0AB1"/>
    <w:rsid w:val="00EC0DB2"/>
    <w:rsid w:val="00F00D9B"/>
    <w:rsid w:val="00F074A4"/>
    <w:rsid w:val="00F1104C"/>
    <w:rsid w:val="00F136AD"/>
    <w:rsid w:val="00F146C2"/>
    <w:rsid w:val="00F2619E"/>
    <w:rsid w:val="00F31720"/>
    <w:rsid w:val="00F37522"/>
    <w:rsid w:val="00F41F75"/>
    <w:rsid w:val="00F46F29"/>
    <w:rsid w:val="00F60248"/>
    <w:rsid w:val="00F63A6D"/>
    <w:rsid w:val="00F64AB8"/>
    <w:rsid w:val="00F67121"/>
    <w:rsid w:val="00F67909"/>
    <w:rsid w:val="00F7154B"/>
    <w:rsid w:val="00F863C5"/>
    <w:rsid w:val="00F8678A"/>
    <w:rsid w:val="00F9222A"/>
    <w:rsid w:val="00F965C5"/>
    <w:rsid w:val="00F967FA"/>
    <w:rsid w:val="00FB232D"/>
    <w:rsid w:val="00FB3C69"/>
    <w:rsid w:val="00FB3E8E"/>
    <w:rsid w:val="00FC53F5"/>
    <w:rsid w:val="00FD16D1"/>
    <w:rsid w:val="00FD66A1"/>
    <w:rsid w:val="00FE6CAB"/>
    <w:rsid w:val="00FE7746"/>
    <w:rsid w:val="00FF0B1B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."/>
  <w:listSeparator w:val=","/>
  <w15:docId w15:val="{2E99DF22-81DC-4589-B936-50831C8E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1E"/>
    <w:pPr>
      <w:tabs>
        <w:tab w:val="left" w:pos="993"/>
      </w:tabs>
      <w:spacing w:before="60" w:after="180" w:line="276" w:lineRule="auto"/>
      <w:ind w:right="-261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511E"/>
    <w:pPr>
      <w:keepNext/>
      <w:spacing w:before="360" w:after="120" w:line="240" w:lineRule="auto"/>
      <w:outlineLvl w:val="0"/>
    </w:pPr>
    <w:rPr>
      <w:b/>
      <w:iCs/>
      <w:color w:val="339966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A511E"/>
    <w:pPr>
      <w:keepNext/>
      <w:numPr>
        <w:numId w:val="12"/>
      </w:numPr>
      <w:spacing w:before="240"/>
      <w:outlineLvl w:val="1"/>
    </w:pPr>
    <w:rPr>
      <w:rFonts w:ascii="Arial Black" w:eastAsia="Times New Roman" w:hAnsi="Arial Black" w:cs="Times New Roman"/>
      <w:b/>
      <w:bCs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semiHidden/>
    <w:unhideWhenUsed/>
    <w:qFormat/>
    <w:locked/>
    <w:rsid w:val="003A511E"/>
    <w:pPr>
      <w:numPr>
        <w:ilvl w:val="1"/>
        <w:numId w:val="15"/>
      </w:numPr>
      <w:ind w:hanging="108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A511E"/>
    <w:rPr>
      <w:rFonts w:ascii="Arial" w:hAnsi="Arial" w:cs="Arial"/>
      <w:b/>
      <w:iCs/>
      <w:color w:val="339966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CF2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F2F67"/>
    <w:rPr>
      <w:rFonts w:cs="Times New Roman"/>
      <w:color w:val="0000FF"/>
      <w:u w:val="single"/>
    </w:rPr>
  </w:style>
  <w:style w:type="paragraph" w:customStyle="1" w:styleId="Li">
    <w:name w:val="Li"/>
    <w:basedOn w:val="Normal"/>
    <w:uiPriority w:val="99"/>
    <w:rsid w:val="0011093F"/>
  </w:style>
  <w:style w:type="paragraph" w:styleId="Header">
    <w:name w:val="header"/>
    <w:basedOn w:val="Normal"/>
    <w:link w:val="HeaderChar"/>
    <w:uiPriority w:val="99"/>
    <w:rsid w:val="0056774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</w:pPr>
    <w:rPr>
      <w:rFonts w:eastAsia="Times New Roman"/>
      <w:szCs w:val="20"/>
    </w:rPr>
  </w:style>
  <w:style w:type="character" w:customStyle="1" w:styleId="HeaderChar">
    <w:name w:val="Header Char"/>
    <w:link w:val="Header"/>
    <w:uiPriority w:val="99"/>
    <w:locked/>
    <w:rsid w:val="00567749"/>
    <w:rPr>
      <w:rFonts w:ascii="Arial" w:hAnsi="Arial" w:cs="Times New Roman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B83E3B"/>
    <w:rPr>
      <w:szCs w:val="21"/>
    </w:rPr>
  </w:style>
  <w:style w:type="character" w:customStyle="1" w:styleId="PlainTextChar">
    <w:name w:val="Plain Text Char"/>
    <w:link w:val="PlainText"/>
    <w:uiPriority w:val="99"/>
    <w:locked/>
    <w:rsid w:val="00B83E3B"/>
    <w:rPr>
      <w:rFonts w:cs="Times New Roman"/>
      <w:sz w:val="21"/>
      <w:lang w:eastAsia="en-US"/>
    </w:rPr>
  </w:style>
  <w:style w:type="character" w:styleId="CommentReference">
    <w:name w:val="annotation reference"/>
    <w:uiPriority w:val="99"/>
    <w:rsid w:val="00B344B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344B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B344BB"/>
    <w:rPr>
      <w:rFonts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344BB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B344BB"/>
    <w:rPr>
      <w:rFonts w:cs="Times New Roman"/>
      <w:b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B344B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344BB"/>
    <w:rPr>
      <w:rFonts w:ascii="Tahoma" w:hAnsi="Tahoma" w:cs="Times New Roman"/>
      <w:sz w:val="16"/>
      <w:lang w:val="en-GB" w:eastAsia="en-GB"/>
    </w:rPr>
  </w:style>
  <w:style w:type="paragraph" w:styleId="Revision">
    <w:name w:val="Revision"/>
    <w:hidden/>
    <w:uiPriority w:val="99"/>
    <w:semiHidden/>
    <w:rsid w:val="00545C4F"/>
    <w:rPr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8C73EC"/>
    <w:rPr>
      <w:rFonts w:cs="Times New Roman"/>
      <w:b/>
    </w:rPr>
  </w:style>
  <w:style w:type="character" w:customStyle="1" w:styleId="st1">
    <w:name w:val="st1"/>
    <w:uiPriority w:val="99"/>
    <w:rsid w:val="008C73EC"/>
  </w:style>
  <w:style w:type="paragraph" w:styleId="Footer">
    <w:name w:val="footer"/>
    <w:basedOn w:val="Normal"/>
    <w:link w:val="FooterChar"/>
    <w:uiPriority w:val="99"/>
    <w:unhideWhenUsed/>
    <w:rsid w:val="00F6024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0248"/>
    <w:rPr>
      <w:sz w:val="24"/>
      <w:szCs w:val="24"/>
      <w:lang w:val="en-GB" w:eastAsia="en-GB"/>
    </w:rPr>
  </w:style>
  <w:style w:type="paragraph" w:customStyle="1" w:styleId="Action">
    <w:name w:val="Action"/>
    <w:basedOn w:val="Normal"/>
    <w:link w:val="ActionChar"/>
    <w:qFormat/>
    <w:rsid w:val="003A511E"/>
    <w:pPr>
      <w:tabs>
        <w:tab w:val="clear" w:pos="993"/>
        <w:tab w:val="left" w:pos="1701"/>
      </w:tabs>
      <w:spacing w:before="240" w:after="240"/>
      <w:ind w:left="1701" w:hanging="1701"/>
    </w:pPr>
    <w:rPr>
      <w:b/>
    </w:rPr>
  </w:style>
  <w:style w:type="character" w:customStyle="1" w:styleId="ActionChar">
    <w:name w:val="Action Char"/>
    <w:link w:val="Action"/>
    <w:rsid w:val="003A511E"/>
    <w:rPr>
      <w:rFonts w:ascii="Arial" w:hAnsi="Arial" w:cs="Arial"/>
      <w:b/>
      <w:sz w:val="22"/>
      <w:szCs w:val="22"/>
      <w:lang w:eastAsia="en-US"/>
    </w:rPr>
  </w:style>
  <w:style w:type="character" w:customStyle="1" w:styleId="Heading2Char">
    <w:name w:val="Heading 2 Char"/>
    <w:link w:val="Heading2"/>
    <w:semiHidden/>
    <w:rsid w:val="003A511E"/>
    <w:rPr>
      <w:rFonts w:ascii="Arial Black" w:eastAsia="Times New Roman" w:hAnsi="Arial Black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semiHidden/>
    <w:rsid w:val="003A511E"/>
    <w:rPr>
      <w:rFonts w:ascii="Arial Black" w:eastAsia="Times New Roman" w:hAnsi="Arial Black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3A511E"/>
    <w:pPr>
      <w:spacing w:line="240" w:lineRule="auto"/>
      <w:jc w:val="center"/>
    </w:pPr>
    <w:rPr>
      <w:b/>
      <w:color w:val="339966"/>
      <w:sz w:val="36"/>
      <w:szCs w:val="36"/>
    </w:rPr>
  </w:style>
  <w:style w:type="character" w:customStyle="1" w:styleId="TitleChar">
    <w:name w:val="Title Char"/>
    <w:link w:val="Title"/>
    <w:rsid w:val="003A511E"/>
    <w:rPr>
      <w:rFonts w:ascii="Arial" w:hAnsi="Arial" w:cs="Arial"/>
      <w:b/>
      <w:color w:val="339966"/>
      <w:sz w:val="36"/>
      <w:szCs w:val="36"/>
      <w:lang w:eastAsia="en-US"/>
    </w:rPr>
  </w:style>
  <w:style w:type="paragraph" w:styleId="Subtitle">
    <w:name w:val="Subtitle"/>
    <w:basedOn w:val="Title"/>
    <w:next w:val="Normal"/>
    <w:link w:val="SubtitleChar"/>
    <w:qFormat/>
    <w:locked/>
    <w:rsid w:val="003A511E"/>
    <w:pPr>
      <w:spacing w:after="120"/>
      <w:ind w:right="0"/>
    </w:pPr>
  </w:style>
  <w:style w:type="character" w:customStyle="1" w:styleId="SubtitleChar">
    <w:name w:val="Subtitle Char"/>
    <w:link w:val="Subtitle"/>
    <w:rsid w:val="003A511E"/>
    <w:rPr>
      <w:rFonts w:ascii="Arial" w:hAnsi="Arial" w:cs="Arial"/>
      <w:b/>
      <w:color w:val="339966"/>
      <w:sz w:val="36"/>
      <w:szCs w:val="36"/>
      <w:lang w:eastAsia="en-US"/>
    </w:rPr>
  </w:style>
  <w:style w:type="character" w:styleId="Strong">
    <w:name w:val="Strong"/>
    <w:qFormat/>
    <w:locked/>
    <w:rsid w:val="003A511E"/>
    <w:rPr>
      <w:b/>
      <w:bCs/>
      <w:color w:val="1C9441"/>
      <w:sz w:val="24"/>
      <w:szCs w:val="24"/>
    </w:rPr>
  </w:style>
  <w:style w:type="paragraph" w:customStyle="1" w:styleId="Bulletedtext">
    <w:name w:val="Bulleted text"/>
    <w:basedOn w:val="Normal"/>
    <w:link w:val="BulletedtextChar"/>
    <w:qFormat/>
    <w:rsid w:val="003A511E"/>
    <w:pPr>
      <w:numPr>
        <w:numId w:val="14"/>
      </w:numPr>
      <w:spacing w:after="0"/>
      <w:ind w:left="714" w:hanging="357"/>
    </w:pPr>
  </w:style>
  <w:style w:type="character" w:customStyle="1" w:styleId="BulletedtextChar">
    <w:name w:val="Bulleted text Char"/>
    <w:link w:val="Bulletedtext"/>
    <w:rsid w:val="003A511E"/>
    <w:rPr>
      <w:rFonts w:ascii="Arial" w:hAnsi="Arial" w:cs="Arial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1E69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B3E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B3E"/>
    <w:rPr>
      <w:rFonts w:ascii="Arial" w:hAnsi="Arial" w:cs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C2B3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63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63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14EB-E51A-40B2-ABFF-886C7DB5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ACHRA AHRC release 2015</vt:lpstr>
    </vt:vector>
  </TitlesOfParts>
  <Company>Australian Human Rights Commission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ACHRA AHRC release 2015</dc:title>
  <dc:creator>Training13</dc:creator>
  <cp:lastModifiedBy>Watchirs, Helen</cp:lastModifiedBy>
  <cp:revision>5</cp:revision>
  <cp:lastPrinted>2018-05-07T07:03:00Z</cp:lastPrinted>
  <dcterms:created xsi:type="dcterms:W3CDTF">2018-05-07T06:00:00Z</dcterms:created>
  <dcterms:modified xsi:type="dcterms:W3CDTF">2018-05-10T05:00:00Z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 Ref.">
    <vt:lpwstr/>
  </property>
  <property fmtid="{D5CDD505-2E9C-101B-9397-08002B2CF9AE}" pid="3" name="Doc. Type">
    <vt:lpwstr/>
  </property>
  <property fmtid="{D5CDD505-2E9C-101B-9397-08002B2CF9AE}" pid="4" name="TRIMID">
    <vt:lpwstr/>
  </property>
</Properties>
</file>